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88R22561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Raney, Plesa, 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1979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1979: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the Texas Workforce Commission and local workforce development boards regarding the provision of child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2308.256(a),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 is composed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representatives of the private sector,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constitute a majority of the membership of the board;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owners of business concerns, chief executives or chief operating officers of nongovernmental employers, or other private sector executives who have substantial management or policy responsibilities</w:t>
      </w:r>
      <w:r>
        <w:rPr>
          <w:u w:val="single"/>
        </w:rPr>
        <w:t xml:space="preserve">, including owners or operators of child-care businesses who must constitute not less than 10 percent of private sector representatives on the board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representatives of organized labor and community-based organizations, who constitute not less than 15 percent of the membership of the board;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representatives of 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educational agencies, including community colleges and secondary and postsecondary practitioners representing vocational education, that are representative of all educational agencies in the service delivery area;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vocational rehabilitation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public assistance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economic development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public employment service;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local literacy councils;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adult basic and continuing education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child-care workforce, including persons with expertise in child care or early childhood education who are not included in the representatives described by Subdivision (1)(B)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2308.3171, Government Code, is amended by amending Subsection (c)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board shall post in a prominent place on the board's Internet website home page and at any physical location where the board provides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list of local designated vendors that are child-care providers and have a quality child-care indicator listed in Subsection (a)(1), (2), (3), or (4);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list of local parenting classes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parents regarding finding quality child-care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the value of quality child care and the Texas Rising Star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parents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for child-care assistance, including subsidized child-care services and other child-care scholarships;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application process for child-care assistance;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determining the status of a financial assistance application;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child-care providers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for accepting children whose parents receive child-care assistance;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Rising Star Program certification process;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contact information, including a telephone number and an e-mail address, where a child-care provider may receive assistance with questions or bring a grievance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local workforce development board shall make the following information available to the public on a quarterly basis: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child-care waitlists, including the number of children in the board's workforce development area who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waitlist, disaggregated by age and zip code based on the child's home address;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taken off a waitlist and enrolled with a child-care provider under the subsidized child-care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added to a waitlist during the quarter;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in the board's workforce development area receiving subsidized child care, disaggregated by zip code based on the child's home address;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child-care providers, including the number of providers in the board's workforce development area who during the quarter: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improved the provider's Texas Rising Star Program rating level;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the provider's Texas Rising Star Program rating level decrease;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received quality dollars from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the outcomes related to quality dollars provided by the board to child-care providers in the board's workforce development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302.00434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302.00434.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SUBSIDIZED CHILD-CARE PROGRAM; RULE CHANGE POLICY.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develop appropriate training and provide the training to local workforce development boards and persons who contract with a board to provide services related to the subsidized child-care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reasonable timeline for implementing each change the commission makes to rules regarding the subsidized child-care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CHILD-CARE PERFORMANCE TARGETS.  (a)  The commission shall establish child-care performance targets in a manner that accounts for cost differentials related to providing child-care services to various populations. In setting the performance targets,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children served by child-care providers in a board's workforce development area;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served by Texas Rising Star Program providers in a board's workforce development area with a two-star, three-star, or four-star rating;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needs and ages of children served by child-care providers in a board's workforce development area;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providers commonly selected by parents in a board's workforce development area;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factors determined necessary by the commission, including data-driven factors provided to the commission by a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shall, at least once every six months during the performance period, review the commission's child-care performance targets and funding based on those targets and make adjustments based on the cost differentials the commission used at the time the performance targets were initially set.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2308.256(g),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