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88R19776 AJZ-F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Dorazio, Swanson, Garcia, Bucy,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1980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1980: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Capriglione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1980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procedures for the issuance of a personal identification certificate to a person whose driver's license is surrendered.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521.101(m),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(m)</w:t>
      </w:r>
      <w:r xml:space="preserve">
        <w:t> </w:t>
      </w:r>
      <w:r xml:space="preserve">
        <w:t> </w:t>
      </w:r>
      <w:r>
        <w:t xml:space="preserve">The department shall adopt procedures for the issuance of a personal identification certificate to a person who surrenders the person's driver's license at the time of applying for the certificate.  The procedures: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must be in compliance with federal guidelines governing the issuance of identification documents;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may require the person issued a personal identification certificate to update information previously provided to the department under Section 521.142; [</w:t>
      </w:r>
      <w:r>
        <w:rPr>
          <w:strike/>
        </w:rPr>
        <w:t xml:space="preserve">and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except as provided by Subdivision (2), may not require a person to provide additional identification documents unless required for compliance with federal guidelines described by Subdivision (1)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must require that the person issued a personal identification certificate be: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notified that the person's voter registration information will need to be updated to include the identification number of the newly issued certificate;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provided an opportunity to update the person's voter registration information at the time of applying for the certificate to include the identification number of the newly issued certificate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1980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