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88R3545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best interest of a child in certain suits affecting the parent-child relationship.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153.002,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153.002.</w:t>
      </w:r>
      <w:r xml:space="preserve">
        <w:t> </w:t>
      </w:r>
      <w:r xml:space="preserve">
        <w:t> </w:t>
      </w:r>
      <w:r>
        <w:t xml:space="preserve">BEST INTEREST OF CHILD.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best interest of the child shall always be the primary consideration of the court in determining the issues of conservatorship and possession of and access to the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by a nonparent requesting possession of or access to a child, it is a rebuttable presumption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parent makes decisions in the best interest of the parent's child;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in the best interest of a child to be raised by the child's parents.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263.307(a),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considering the factors established by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prompt and permanent placement of the child in a safe environment is presumed to be in the child's best interest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rebuttable presumption described by Section 153.002(b) applies when determining the best interest of a child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affecting the parent-child relationship that is pending in a trial court on the effective date of this Act or filed on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