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88R5616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1990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Department of Family and Protective Services to notify certain individuals of changes to child abuse and neglect investigation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261, Family Code, is amended by adding Section 261.3081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261.3081.</w:t>
      </w:r>
      <w:r>
        <w:rPr>
          <w:u w:val="single"/>
        </w:rPr>
        <w:t xml:space="preserve"> </w:t>
      </w:r>
      <w:r>
        <w:rPr>
          <w:u w:val="single"/>
        </w:rPr>
        <w:t xml:space="preserve"> </w:t>
      </w:r>
      <w:r>
        <w:rPr>
          <w:u w:val="single"/>
        </w:rPr>
        <w:t xml:space="preserve">NOTICE REGARDING CHANGES MADE BY DEPARTMENT TO INVESTIGATION REPORT.  The department shall notify the following interested parties of any edits or corrections the department makes to the written report prepared by the department under Section 261.308: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for the child's parent if represented by an attorney;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ad litem for the child appointed under Chapter 107;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guardian ad litem for the child appointed under Chapter 107, including a volunteer advocate;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person the court determines has an interest in the child's welfare.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