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88R9611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1992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policyholder approval for certain windstorm and hail insurance rate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2210, Insurance Code, is amended by adding Section 2210.3591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2210.3591.</w:t>
      </w:r>
      <w:r>
        <w:rPr>
          <w:u w:val="single"/>
        </w:rPr>
        <w:t xml:space="preserve"> </w:t>
      </w:r>
      <w:r>
        <w:rPr>
          <w:u w:val="single"/>
        </w:rPr>
        <w:t xml:space="preserve"> </w:t>
      </w:r>
      <w:r>
        <w:rPr>
          <w:u w:val="single"/>
        </w:rPr>
        <w:t xml:space="preserve">POLICYHOLDER APPROVAL REQUIRED FOR CERTAIN RATE CHANGES.  (a) The board of directors may not approve a rate that reflects an average rate change that is more than five percent higher than the rate in effect on the date the board proposes the rate unless the proposed rate change has been approved by a majority of the policyholders of the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the procedure by which policyholders are notified of and vote on a proposed rate change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commissioner of insurance shall adopt rules necessary to implement Section 2210.3591,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rate approved by the board of directors of the Texas Windstorm Insurance Association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