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88R7135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Anderson, 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peace officer commissioned by the comptroller to apply for an order authorizing the installation and use of a mobile tracking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18B.202(a),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judge may issue an order for the installation and use of a mobile tracking device only on the application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authorized peace officer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commissioned by the comptroller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