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88R8740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1994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percentage of the appraised value of the tangible personal property a person owns that consists of inventory held for sale at retail.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APPLICABLE BEGINNING WITH 2024 TAX YEAR</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RETAIL INVENTORY.  (a) </w:t>
      </w:r>
      <w:r>
        <w:rPr>
          <w:u w:val="single"/>
        </w:rPr>
        <w:t xml:space="preserve"> </w:t>
      </w:r>
      <w:r>
        <w:rPr>
          <w:u w:val="single"/>
        </w:rPr>
        <w:t xml:space="preserve">A person is entitled to an exemption from taxation of the following percentages of the appraised value of the tangible personal property the person owns that consists of inventory held for sale at retail and for which the person is not otherwise entitled to an exemption from taxation: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2024 tax year, 20 percent of the appraised value of the inventory;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2025 tax year, 50 percent of the appraised value of the inventory.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2026.</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This article applies only to the 2024 and 2025 ad valorem tax years.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This article takes effect January 1, 2024, but only if the constitutional amendment proposed by the 88th Legislature, Regular Session, 2023, to authorize the legislature to exempt from ad valorem taxation a percentage of the market value of the tangible personal property a person owns that consists of inventory held for sale at retail is approved by the voters. </w:t>
      </w:r>
      <w:r>
        <w:t xml:space="preserve"> </w:t>
      </w:r>
      <w:r>
        <w:t xml:space="preserve">If that amendment is not approved by the voters, this article has no effect.</w:t>
      </w:r>
    </w:p>
    <w:p w:rsidR="003F3435" w:rsidRDefault="0032493E">
      <w:pPr>
        <w:spacing w:line="480" w:lineRule="auto"/>
        <w:jc w:val="center"/>
      </w:pPr>
      <w:r>
        <w:t xml:space="preserve">ARTICLE 2. </w:t>
      </w:r>
      <w:r>
        <w:t xml:space="preserve"> </w:t>
      </w:r>
      <w:r>
        <w:t xml:space="preserve">PROVISIONS APPLICABLE BEGINNING WITH 2026 TAX YEAR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RETAIL INVENTORY. </w:t>
      </w:r>
      <w:r>
        <w:rPr>
          <w:u w:val="single"/>
        </w:rPr>
        <w:t xml:space="preserve"> </w:t>
      </w:r>
      <w:r>
        <w:rPr>
          <w:u w:val="single"/>
        </w:rPr>
        <w:t xml:space="preserve">A person is entitled to an exemption from taxation of 75 percent of the appraised value of the tangible personal property the person owns that consists of inventory held for sale at retail and for which the person is not otherwise entitled to an exemption from taxation.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This article applies to an ad valorem tax year that begins on or after January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This article takes effect January 1, 2026, but only if the constitutional amendment proposed by the 88th Legislature, Regular Session, 2023, to authorize the legislature to exempt from ad valorem taxation a percentage of the market value of the tangible personal property a person owns that consists of inventory held for sale at retail is approved by the voters. </w:t>
      </w:r>
      <w:r>
        <w:t xml:space="preserve"> </w:t>
      </w:r>
      <w:r>
        <w:t xml:space="preserve">If that amendment is not approved by the voters, this article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