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88R9475 AJZ-D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Goodwin</w:t>
      </w:r>
      <w:r xml:space="preserve">
        <w:tab wTab="150" tlc="none" cTlc="0"/>
      </w:r>
      <w:r>
        <w:t xml:space="preserve">H.B.</w:t>
      </w:r>
      <w:r xml:space="preserve">
        <w:t> </w:t>
      </w:r>
      <w:r>
        <w:t xml:space="preserve">No.</w:t>
      </w:r>
      <w:r xml:space="preserve">
        <w:t> </w:t>
      </w:r>
      <w:r>
        <w:t xml:space="preserve">1995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requiring a licensed firearms dealer to report certain sales or transfers of multiple semiautomatic rifles to law enforcement;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6, Business &amp; Commerce Code, is amended by adding Chapter 205 to read as follows:</w:t>
      </w:r>
    </w:p>
    <w:p w:rsidR="003F3435" w:rsidRDefault="0032493E">
      <w:pPr>
        <w:spacing w:line="480" w:lineRule="auto"/>
        <w:jc w:val="center"/>
      </w:pPr>
      <w:r>
        <w:rPr>
          <w:u w:val="single"/>
        </w:rPr>
        <w:t xml:space="preserve">CHAPTER 205.  REPORTS OF CERTAIN MULTIPLE TRANSFERS OF SEMIAUTOMATIC RIFLES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"Department" means the Department of Public Safety of the State of Texas.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"Licensed firearms dealer" means a person who is licensed as a firearms dealer under 18 U.S.C. Section 923.</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205.002.</w:t>
      </w:r>
      <w:r>
        <w:rPr>
          <w:u w:val="single"/>
        </w:rPr>
        <w:t xml:space="preserve"> </w:t>
      </w:r>
      <w:r>
        <w:rPr>
          <w:u w:val="single"/>
        </w:rPr>
        <w:t xml:space="preserve"> </w:t>
      </w:r>
      <w:r>
        <w:rPr>
          <w:u w:val="single"/>
        </w:rPr>
        <w:t xml:space="preserve">APPLICABILITY.  This chapter applies only to a semiautomatic rifle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capable of accepting a detachable magazine;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caliber greater than .22.</w:t>
      </w:r>
    </w:p>
    <w:p w:rsidR="003F3435" w:rsidRDefault="0032493E">
      <w:pPr>
        <w:spacing w:line="480" w:lineRule="auto"/>
        <w:jc w:val="center"/>
      </w:pPr>
      <w:r>
        <w:rPr>
          <w:u w:val="single"/>
        </w:rPr>
        <w:t xml:space="preserve">SUBCHAPTER B. </w:t>
      </w:r>
      <w:r>
        <w:rPr>
          <w:u w:val="single"/>
        </w:rPr>
        <w:t xml:space="preserve"> </w:t>
      </w:r>
      <w:r>
        <w:rPr>
          <w:u w:val="single"/>
        </w:rPr>
        <w:t xml:space="preserve">REQUIRED REPORTING OF CERTAIN MULTIPLE SALES OR TRANSFERS OF SEMIAUTOMATIC RIFLES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205.051.</w:t>
      </w:r>
      <w:r>
        <w:rPr>
          <w:u w:val="single"/>
        </w:rPr>
        <w:t xml:space="preserve"> </w:t>
      </w:r>
      <w:r>
        <w:rPr>
          <w:u w:val="single"/>
        </w:rPr>
        <w:t xml:space="preserve"> </w:t>
      </w:r>
      <w:r>
        <w:rPr>
          <w:u w:val="single"/>
        </w:rPr>
        <w:t xml:space="preserve">REPORT BY LICENSED FIREARMS DEALER.  (a)  This section applies only to a sale or transfer of two or more semiautomatic rifles to which this chapter applies made to the same transferee, other than a licensed firearms dealer, on a single occasion or on more than one occasion during a period of five consecutive business days.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licensed firearms dealer shall report to the department, in the form and manner prescribed by the department under Section 205.101, the multiple sales or transfers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completing a sale or transfer of a semiautomatic rifle to which this chapter applies the licensed firearms dealer making the sale or transfer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items in the current sale or transfer and any recent previous sales and transfers by the dealer to that transferee to determine whether the reporting duties of this subchapter apply to the dealer as a result of that sale or transfer;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a report, if required,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report submitted by a licensed firearms dealer to the department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205.052.</w:t>
      </w:r>
      <w:r>
        <w:rPr>
          <w:u w:val="single"/>
        </w:rPr>
        <w:t xml:space="preserve"> </w:t>
      </w:r>
      <w:r>
        <w:rPr>
          <w:u w:val="single"/>
        </w:rPr>
        <w:t xml:space="preserve"> </w:t>
      </w:r>
      <w:r>
        <w:rPr>
          <w:u w:val="single"/>
        </w:rPr>
        <w:t xml:space="preserve">REPORT TO SHERIFF AND POLICE DEPARTMENT.  (a) </w:t>
      </w:r>
      <w:r>
        <w:rPr>
          <w:u w:val="single"/>
        </w:rPr>
        <w:t xml:space="preserve"> </w:t>
      </w:r>
      <w:r>
        <w:rPr>
          <w:u w:val="single"/>
        </w:rPr>
        <w:t xml:space="preserve">Not later than 24 hours after receiving a report from a licensed firearms dealer under Section 205.051(b), the department shall transmit the report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sheriff of each county in which the applicable sales or transfers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sheriff of the county in which the transferee resides;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any of the applicable sales or transfers occurred in a</w:t>
      </w:r>
      <w:r>
        <w:rPr>
          <w:u w:val="single"/>
        </w:rPr>
        <w:t xml:space="preserve"> </w:t>
      </w:r>
      <w:r>
        <w:rPr>
          <w:u w:val="single"/>
        </w:rPr>
        <w:t xml:space="preserve">municipality, the police department of each municipality in which the applicable sales or transfers occurred;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if the transferee resides in a municipality, the police department of the municipality in which the transferee resides.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Information in a report submitted to a county sheriff or a police department under Subsection (a)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205.053.</w:t>
      </w:r>
      <w:r>
        <w:rPr>
          <w:u w:val="single"/>
        </w:rPr>
        <w:t xml:space="preserve"> </w:t>
      </w:r>
      <w:r>
        <w:rPr>
          <w:u w:val="single"/>
        </w:rPr>
        <w:t xml:space="preserve"> </w:t>
      </w:r>
      <w:r>
        <w:rPr>
          <w:u w:val="single"/>
        </w:rPr>
        <w:t xml:space="preserve">OFFENSE.  (a) A licensed firearms dealer who, with criminal negligence, violates Section 205.051 commits an offense.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jc w:val="center"/>
      </w:pPr>
      <w:r>
        <w:rPr>
          <w:u w:val="single"/>
        </w:rPr>
        <w:t xml:space="preserve">SUBCHAPTER C. FORMS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205.101.</w:t>
      </w:r>
      <w:r>
        <w:rPr>
          <w:u w:val="single"/>
        </w:rPr>
        <w:t xml:space="preserve"> </w:t>
      </w:r>
      <w:r>
        <w:rPr>
          <w:u w:val="single"/>
        </w:rPr>
        <w:t xml:space="preserve"> </w:t>
      </w:r>
      <w:r>
        <w:rPr>
          <w:u w:val="single"/>
        </w:rPr>
        <w:t xml:space="preserve">FORM FOR SUBMISSION OF FIREARMS DEALER REPORT.  (a)  For purposes of the report required by Section 205.051(b), the department shall require a licensed firearms dealer to use a form prescribed by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form prescribed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dates and locations of the applicable sales or transfers;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semiautomatic rifles sold or transferred;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identity and location of the licensed firearms dealer, including the locations where each applicable transfer occurred;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identity of the transferee;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licensed firearms dealer to submit a copy of the identification provided by the transferee for the purchase.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post on the department's publicly accessible Internet website: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form required by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instructions for submitting the form and related documentation, including an e-mail address or electronic portal that may be used to submit the form and documentation.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September 1, 2023, the Department of Public Safety shall develop the form for reporting multiple semiautomatic rifle sales, as required by Section 205.101, Business &amp; Commerce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the sale or transfer of a semiautomatic rifle that occurs on or after the effective date of this Act.  A sale or transfer of a semiautomatic rifle that occurs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