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88R1204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et al.</w:t>
      </w:r>
      <w:r xml:space="preserve">
        <w:tab wTab="150" tlc="none" cTlc="0"/>
      </w:r>
      <w:r>
        <w:t xml:space="preserve">H.B.</w:t>
      </w:r>
      <w:r xml:space="preserve">
        <w:t> </w:t>
      </w:r>
      <w:r>
        <w:t xml:space="preserve">No.</w:t>
      </w:r>
      <w:r xml:space="preserve">
        <w:t> </w:t>
      </w:r>
      <w:r>
        <w:t xml:space="preserve">2006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birth records of adopted persons;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192.008, Health and Safety Code, is amended by amending Subsections (c) and (d) and adding Subsections (g) and (h)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adopt rules and procedures </w:t>
      </w:r>
      <w:r>
        <w:rPr>
          <w:u w:val="single"/>
        </w:rPr>
        <w:t xml:space="preserve">consistent with this section</w:t>
      </w:r>
      <w:r>
        <w:t xml:space="preserve"> </w:t>
      </w:r>
      <w:r>
        <w:t xml:space="preserve">to ensure that birth records and indexes under the control of the department or local registrars and accessible to the </w:t>
      </w:r>
      <w:r>
        <w:rPr>
          <w:u w:val="single"/>
        </w:rPr>
        <w:t xml:space="preserve">general</w:t>
      </w:r>
      <w:r>
        <w:t xml:space="preserve"> public do not contain information or cross-references through which the confidentiality of adoption placements may be directly or indirectly violated. The rules and procedures may not interfere with the registries established under Subchapter E, Chapter 162, Family Code, or with a court order under this section.</w:t>
      </w:r>
    </w:p>
    <w:p w:rsidR="003F3435" w:rsidRDefault="0032493E">
      <w:pPr>
        <w:spacing w:line="480" w:lineRule="auto"/>
        <w:ind w:firstLine="720"/>
        <w:jc w:val="both"/>
      </w:pPr>
      <w:r>
        <w:t xml:space="preserve">(d)</w:t>
      </w:r>
      <w:r xml:space="preserve">
        <w:t> </w:t>
      </w:r>
      <w:r xml:space="preserve">
        <w:t> </w:t>
      </w:r>
      <w:r>
        <w:t xml:space="preserve">Except as provided by Subsections (e)</w:t>
      </w:r>
      <w:r>
        <w:rPr>
          <w:u w:val="single"/>
        </w:rPr>
        <w:t xml:space="preserve">,</w:t>
      </w:r>
      <w:r>
        <w:t xml:space="preserve"> </w:t>
      </w:r>
      <w:r>
        <w:t xml:space="preserve">[</w:t>
      </w:r>
      <w:r>
        <w:rPr>
          <w:strike/>
        </w:rPr>
        <w:t xml:space="preserve">and</w:t>
      </w:r>
      <w:r>
        <w:t xml:space="preserve">] (f), </w:t>
      </w:r>
      <w:r>
        <w:rPr>
          <w:u w:val="single"/>
        </w:rPr>
        <w:t xml:space="preserve">and (g),</w:t>
      </w:r>
      <w:r>
        <w:t xml:space="preserve"> </w:t>
      </w:r>
      <w:r>
        <w:t xml:space="preserve">only the court that granted the adoption may order access to an original birth certificate and the filed documents on which a supplementary certificate is based.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registrar shall on written request without a court order provide to a person who was adopted or, if the adopted person is deceased, an adult descendant, adult sibling, surviving spouse, or adoptive parent of the adopted person, a noncertified copy of the person's original birth certificate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adopted person was born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request is made on or after the adopted person's 18th birthday;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supplementary birth certificate was issued for the adopted person;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requesting the noncertified copy of </w:t>
      </w:r>
      <w:r>
        <w:rPr>
          <w:u w:val="single"/>
        </w:rPr>
        <w:t xml:space="preserve"> </w:t>
      </w:r>
      <w:r>
        <w:rPr>
          <w:u w:val="single"/>
        </w:rPr>
        <w:t xml:space="preserve">the original birth certificate provides, in person or by mail, appropriate proof of the person's identity.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a noncertified copy of a person's original birth certificate provided under Subsection (g), the state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 fee in an amount equal to the fee charged for issuing a noncertified copy of a birth certificate;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the copy within the time prescribed for issuance of other noncertified copies of birth certificates.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Sections 192.008(g) and (h), Health and Safety Code, as added by this Act, the state registrar is not required to comply with those provisions until July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