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88R19289 AJA-D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Martinez, Leach, Holland</w:t>
      </w:r>
      <w:r xml:space="preserve">
        <w:tab wTab="150" tlc="none" cTlc="0"/>
      </w:r>
      <w:r>
        <w:t xml:space="preserve">H.B.</w:t>
      </w:r>
      <w:r xml:space="preserve">
        <w:t> </w:t>
      </w:r>
      <w:r>
        <w:t xml:space="preserve">No.</w:t>
      </w:r>
      <w:r xml:space="preserve">
        <w:t> </w:t>
      </w:r>
      <w:r>
        <w:t xml:space="preserve">2007</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2007:</w:t>
      </w:r>
    </w:p>
    <w:p w:rsidR="003F3435" w:rsidRDefault="0032493E">
      <w:pPr>
        <w:spacing w:line="480" w:lineRule="auto"/>
        <w:jc w:val="both"/>
        <w:tabs>
          <w:tab w:val="right" w:leader="none" w:pos="9350"/>
        </w:tabs>
      </w:pPr>
      <w:r>
        <w:t xml:space="preserve">By:</w:t>
      </w:r>
      <w:r xml:space="preserve">
        <w:t> </w:t>
      </w:r>
      <w:r xml:space="preserve">
        <w:t> </w:t>
      </w:r>
      <w:r>
        <w:t xml:space="preserve">Davis</w:t>
      </w:r>
      <w:r xml:space="preserve">
        <w:tab wTab="150" tlc="none" cTlc="0"/>
      </w:r>
      <w:r>
        <w:t xml:space="preserve">C.S.H.B.</w:t>
      </w:r>
      <w:r xml:space="preserve">
        <w:t> </w:t>
      </w:r>
      <w:r>
        <w:t xml:space="preserve">No.</w:t>
      </w:r>
      <w:r xml:space="preserve">
        <w:t> </w:t>
      </w:r>
      <w:r>
        <w:t xml:space="preserve">2007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certificate of merit in certain actions against certain licensed or registered professionals.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150.002, Civil Practice and Remedies Code, is amended by amending Subsection (a) and adding Subsection (i)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Subsection (i), in</w:t>
      </w:r>
      <w:r>
        <w:t xml:space="preserve"> [</w:t>
      </w:r>
      <w:r>
        <w:rPr>
          <w:strike/>
        </w:rPr>
        <w:t xml:space="preserve">In</w:t>
      </w:r>
      <w:r>
        <w:t xml:space="preserve">] any action or arbitration proceeding for damages arising out of the provision of professional services by a licensed or registered professional, a claimant shall be required to file with the complaint an affidavit of a third-party licensed architect, licensed professional engineer, registered landscape architect, or registered professional land surveyor who:</w:t>
      </w:r>
    </w:p>
    <w:p w:rsidR="003F3435" w:rsidRDefault="0032493E">
      <w:pPr>
        <w:spacing w:line="480" w:lineRule="auto"/>
        <w:ind w:firstLine="1440"/>
        <w:jc w:val="both"/>
      </w:pPr>
      <w:r>
        <w:t xml:space="preserve">(1)</w:t>
      </w:r>
      <w:r xml:space="preserve">
        <w:t> </w:t>
      </w:r>
      <w:r xml:space="preserve">
        <w:t> </w:t>
      </w:r>
      <w:r>
        <w:t xml:space="preserve">is competent to testify;</w:t>
      </w:r>
    </w:p>
    <w:p w:rsidR="003F3435" w:rsidRDefault="0032493E">
      <w:pPr>
        <w:spacing w:line="480" w:lineRule="auto"/>
        <w:ind w:firstLine="1440"/>
        <w:jc w:val="both"/>
      </w:pPr>
      <w:r>
        <w:t xml:space="preserve">(2)</w:t>
      </w:r>
      <w:r xml:space="preserve">
        <w:t> </w:t>
      </w:r>
      <w:r xml:space="preserve">
        <w:t> </w:t>
      </w:r>
      <w:r>
        <w:t xml:space="preserve">holds the same professional license or registration as the defendant; and</w:t>
      </w:r>
    </w:p>
    <w:p w:rsidR="003F3435" w:rsidRDefault="0032493E">
      <w:pPr>
        <w:spacing w:line="480" w:lineRule="auto"/>
        <w:ind w:firstLine="1440"/>
        <w:jc w:val="both"/>
      </w:pPr>
      <w:r>
        <w:t xml:space="preserve">(3)</w:t>
      </w:r>
      <w:r xml:space="preserve">
        <w:t> </w:t>
      </w:r>
      <w:r xml:space="preserve">
        <w:t> </w:t>
      </w:r>
      <w:r>
        <w:t xml:space="preserve">practices in the area of practice of the defendant and offers testimony based on the person's:</w:t>
      </w:r>
    </w:p>
    <w:p w:rsidR="003F3435" w:rsidRDefault="0032493E">
      <w:pPr>
        <w:spacing w:line="480" w:lineRule="auto"/>
        <w:ind w:firstLine="2160"/>
        <w:jc w:val="both"/>
      </w:pPr>
      <w:r>
        <w:t xml:space="preserve">(A)</w:t>
      </w:r>
      <w:r xml:space="preserve">
        <w:t> </w:t>
      </w:r>
      <w:r xml:space="preserve">
        <w:t> </w:t>
      </w:r>
      <w:r>
        <w:t xml:space="preserve">knowledge;</w:t>
      </w:r>
    </w:p>
    <w:p w:rsidR="003F3435" w:rsidRDefault="0032493E">
      <w:pPr>
        <w:spacing w:line="480" w:lineRule="auto"/>
        <w:ind w:firstLine="2160"/>
        <w:jc w:val="both"/>
      </w:pPr>
      <w:r>
        <w:t xml:space="preserve">(B)</w:t>
      </w:r>
      <w:r xml:space="preserve">
        <w:t> </w:t>
      </w:r>
      <w:r xml:space="preserve">
        <w:t> </w:t>
      </w:r>
      <w:r>
        <w:t xml:space="preserve">skill;</w:t>
      </w:r>
    </w:p>
    <w:p w:rsidR="003F3435" w:rsidRDefault="0032493E">
      <w:pPr>
        <w:spacing w:line="480" w:lineRule="auto"/>
        <w:ind w:firstLine="2160"/>
        <w:jc w:val="both"/>
      </w:pPr>
      <w:r>
        <w:t xml:space="preserve">(C)</w:t>
      </w:r>
      <w:r xml:space="preserve">
        <w:t> </w:t>
      </w:r>
      <w:r xml:space="preserve">
        <w:t> </w:t>
      </w:r>
      <w:r>
        <w:t xml:space="preserve">experience;</w:t>
      </w:r>
    </w:p>
    <w:p w:rsidR="003F3435" w:rsidRDefault="0032493E">
      <w:pPr>
        <w:spacing w:line="480" w:lineRule="auto"/>
        <w:ind w:firstLine="2160"/>
        <w:jc w:val="both"/>
      </w:pPr>
      <w:r>
        <w:t xml:space="preserve">(D)</w:t>
      </w:r>
      <w:r xml:space="preserve">
        <w:t> </w:t>
      </w:r>
      <w:r xml:space="preserve">
        <w:t> </w:t>
      </w:r>
      <w:r>
        <w:t xml:space="preserve">education;</w:t>
      </w:r>
    </w:p>
    <w:p w:rsidR="003F3435" w:rsidRDefault="0032493E">
      <w:pPr>
        <w:spacing w:line="480" w:lineRule="auto"/>
        <w:ind w:firstLine="2160"/>
        <w:jc w:val="both"/>
      </w:pPr>
      <w:r>
        <w:t xml:space="preserve">(E)</w:t>
      </w:r>
      <w:r xml:space="preserve">
        <w:t> </w:t>
      </w:r>
      <w:r xml:space="preserve">
        <w:t> </w:t>
      </w:r>
      <w:r>
        <w:t xml:space="preserve">training; and</w:t>
      </w:r>
    </w:p>
    <w:p w:rsidR="003F3435" w:rsidRDefault="0032493E">
      <w:pPr>
        <w:spacing w:line="480" w:lineRule="auto"/>
        <w:ind w:firstLine="2160"/>
        <w:jc w:val="both"/>
      </w:pPr>
      <w:r>
        <w:t xml:space="preserve">(F)</w:t>
      </w:r>
      <w:r xml:space="preserve">
        <w:t> </w:t>
      </w:r>
      <w:r xml:space="preserve">
        <w:t> </w:t>
      </w:r>
      <w:r>
        <w:t xml:space="preserve">practice.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third-party plaintiff that is a design-build firm or a design-build team, or an architect, engineer, or other member of a design-build firm or design-build team, is not required to file an affidavit </w:t>
      </w:r>
      <w:r>
        <w:rPr>
          <w:u w:val="single"/>
        </w:rPr>
        <w:t xml:space="preserve">described by Subsection (a) in connection with filing a third-party claim or cross-claim against a licensed or registered professional if the action or arbitration proceeding arises out of a design-build project in which a governmental entity contracts with a single entity to provide both design and construction services for the construction, expansion, extension, rehabilitation, alteration, or repair of a facility, a building or associated structure, a civil works project, or a highway project.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action commenced on or after the effective date of this Act.  An action commenced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2007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