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88R9681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2011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massage student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455.161(a),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require a student enrolled in a massage school in this state to hold a permit stating the student's name and the name of the school </w:t>
      </w:r>
      <w:r>
        <w:rPr>
          <w:u w:val="single"/>
        </w:rPr>
        <w:t xml:space="preserve">and including a photograph of the student's face</w:t>
      </w:r>
      <w:r>
        <w:t xml:space="preserve">.  The permit must be displayed in a reasonable manner at the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of Licensing and Regulation shall adopt rules necessary to implement the changes in law made by this Act to Section 455.161,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