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88R8085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Oliverson, Metcalf, Longoria,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2012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Harris of Anderson, Harrison,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display of the national motto in public school and institution of higher education classrooms.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1.004, Education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classroom teacher at a public elementary or secondary school or a teacher or professor at an institution of higher education as defined by Section 61.003 may not be prohibited from displaying in a classroom a poster or framed copy of the national motto that meets the requirements of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