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Collier, Cook</w:t>
      </w:r>
      <w:r xml:space="preserve">
        <w:tab wTab="150" tlc="none" cTlc="0"/>
      </w:r>
      <w:r>
        <w:t xml:space="preserve">H.B.</w:t>
      </w:r>
      <w:r xml:space="preserve">
        <w:t> </w:t>
      </w:r>
      <w:r>
        <w:t xml:space="preserve">No.</w:t>
      </w:r>
      <w:r xml:space="preserve">
        <w:t> </w:t>
      </w:r>
      <w:r>
        <w:t xml:space="preserve">2019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2023; May</w:t>
      </w:r>
      <w:r xml:space="preserve">
        <w:t> </w:t>
      </w:r>
      <w:r>
        <w:t xml:space="preserve">12,</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statute of limitations for certain burglary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burglary under Section 30.02,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is punishable under Subsection (d) of that section because the defendant entered a habitation with the intent to commit an offense under Section 22.011 or 22.021, Penal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during the investigation of the offense biological matter is collected and the matter: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has not yet been subjected to forensic DNA testing;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w:t>
      </w:r>
      <w:r>
        <w:rPr>
          <w:strike/>
        </w:rPr>
        <w:t xml:space="preserve">or burglary</w:t>
      </w:r>
      <w:r>
        <w:t xml:space="preserve">];</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except as provided by Subdivision (1) or (5),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rPr>
          <w:u w:val="single"/>
        </w:rPr>
        <w:t xml:space="preserve">subject to Subdivision (1)(J),</w:t>
      </w:r>
      <w:r>
        <w:t xml:space="preserve"> burglary under Section 30.02, Penal Code, if the offense is punishable under Subsection (d) of that section </w:t>
      </w:r>
      <w:r>
        <w:rPr>
          <w:u w:val="single"/>
        </w:rPr>
        <w:t xml:space="preserve">because</w:t>
      </w:r>
      <w:r>
        <w:t xml:space="preserve"> [</w:t>
      </w:r>
      <w:r>
        <w:rPr>
          <w:strike/>
        </w:rPr>
        <w:t xml:space="preserve">and</w:t>
      </w:r>
      <w:r>
        <w:t xml:space="preserve">] the defendant </w:t>
      </w:r>
      <w:r>
        <w:rPr>
          <w:u w:val="single"/>
        </w:rPr>
        <w:t xml:space="preserve">entered a habitation</w:t>
      </w:r>
      <w:r>
        <w:t xml:space="preserve"> [</w:t>
      </w:r>
      <w:r>
        <w:rPr>
          <w:strike/>
        </w:rPr>
        <w:t xml:space="preserve">committed the offense</w:t>
      </w:r>
      <w:r>
        <w:t xml:space="preserv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