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88R1053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2021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applicability of certain insurance laws to pharmacy benefit managers.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4151, Insurance Code, is amended by adding Section 4151.155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4151.155.</w:t>
      </w:r>
      <w:r>
        <w:rPr>
          <w:u w:val="single"/>
        </w:rPr>
        <w:t xml:space="preserve"> </w:t>
      </w:r>
      <w:r>
        <w:rPr>
          <w:u w:val="single"/>
        </w:rPr>
        <w:t xml:space="preserve"> </w:t>
      </w:r>
      <w:r>
        <w:rPr>
          <w:u w:val="single"/>
        </w:rPr>
        <w:t xml:space="preserve">APPLICABILITY OF CERTAIN LAWS TO PHARMACY BENEFIT MANAGERS.  (a) </w:t>
      </w:r>
      <w:r>
        <w:rPr>
          <w:u w:val="single"/>
        </w:rPr>
        <w:t xml:space="preserve"> </w:t>
      </w:r>
      <w:r>
        <w:rPr>
          <w:u w:val="single"/>
        </w:rPr>
        <w:t xml:space="preserve">Except as provided by this section, a pharmacy benefit manager must comply with the provisions of Chapter 1369 with respect to each plan administered by the pharmacy benefit manager, regardless of whether a provision of that chapter is specifically made applicable to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pharmacy benefit manager is not required to comply with a provision of Chapter 1369:</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a plan expressly excluded from the applicability of the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that the commissioner determines that the nature of third-party administrators renders the provision inapplicable to pharmacy benefit managers.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commissioner of insurance shall repeal all rules that are inconsistent with Section 4151.155,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4151.155, Insurance Code, as added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