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2023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court costs and attorney's fees in certain actions challenging certain local laws, local regulatory actions, or the failure of an officer of certain political subdivisions to perform certain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Subtitle C, Title 7, Local Government Code, is amended by adding Section 250.011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250.011.</w:t>
      </w:r>
      <w:r>
        <w:rPr>
          <w:u w:val="single"/>
        </w:rPr>
        <w:t xml:space="preserve"> </w:t>
      </w:r>
      <w:r>
        <w:rPr>
          <w:u w:val="single"/>
        </w:rPr>
        <w:t xml:space="preserve"> </w:t>
      </w:r>
      <w:r>
        <w:rPr>
          <w:u w:val="single"/>
        </w:rPr>
        <w:t xml:space="preserve">AWARD OF COURT COSTS AND ATTORNEY'S FEES IN CERTAIN ACTIONS.  (a)  If a court determines that an order, ordinance, regulatory decision, denial of an application, refusal to issue a permit, or similar measure of a political subdivision is unenforceable because it is preempted by the state constitution or a state statute, the court shall award the person prevailing in the action challenging the order, ordinance, regulatory decision, denial of an application, refusal to issue a permit, or measure on that basis court costs and reasonable attorney's fees, including expert witness fees, to be paid by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court determines that an officer of a political subdivision has failed to perform an act of the office required </w:t>
      </w:r>
      <w:r>
        <w:rPr>
          <w:u w:val="single"/>
        </w:rPr>
        <w:t xml:space="preserve">by the state constitution or a state statute, the court shall award the person prevailing in the action challenging the officer for failure to perform that act court costs and reasonable attorney's fees, including expert witness fees, to be paid by the political subdivision for which the officer served at the time of the failure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determines that a political subdivision has failed to comply with the requirements of Chapter 212 of this Code, the court shall award the person prevailing in the action court costs and reasonable attorney's fees, including expert witness fees, to be paid by the political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court determines that a political subdivision has failed to comply with the requirements of Chapter 232 of this Code, the court shall award the person prevailing in the action court costs and reasonable attorney's fees, including expert witness fees, to be paid by the political subdivision.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only to an action commenced on or after the effective date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