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statutes of limitation and repose for certain claims arising out of residential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16.009, Civil Practice and Remedies Code, is amended by amending Subsections (a) and (c) and adding Subsections (a-2), (a-3), and (a-4)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six years after the substantial completion of the improvement.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a written warranty must provide a minimum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year for workmanship and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for plumbing, electrical, heating, and air-conditioning delivery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six years for major structural components.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For purposes of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"Contractor" has the meaning assigned by Section 27.001,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"Residence" means the real property and improvements for a detached one-family or two-family dwelling or a townhouse not more than three stories above grade plane in height with a separate means of egress or an accessory structure not more than three stories above grade plane in height.</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this section, Section 16.009, Civil Practice and Remedies Code, as amended by this Act, applies to a cause of action arising out of the design, construction, or repair of an improvement to real property that commences on or after the effective date of this Act.  Section 16.009, Civil Practice and Remedies Code, as amended by this Act, does not apply to a cause of action arising out of the design, construction, or repair of an improvement to real property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2024 was passed by the House on April 21, 2023, by the following vote:</w:t>
      </w:r>
      <w:r xml:space="preserve">
        <w:t> </w:t>
      </w:r>
      <w:r xml:space="preserve">
        <w:t> </w:t>
      </w:r>
      <w:r>
        <w:t xml:space="preserve">Yeas 100, Nays 40,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2024 was passed by the Senate on May 16, 2023, by the following vote:</w:t>
      </w:r>
      <w:r xml:space="preserve">
        <w:t> </w:t>
      </w:r>
      <w:r xml:space="preserve">
        <w:t> </w:t>
      </w:r>
      <w:r>
        <w:t xml:space="preserve">Yeas 22, Nays 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