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88R19891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2024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2024:</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2024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statutes of limitation and repose for certain claims arising out of residential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16.009, Civil Practice and Remedies Code, is amended by amending Subsections (a) and (c) and adding Subsections (a-2), (a-3), and (a-4)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or (a-2)</w:t>
      </w:r>
      <w:r>
        <w:t xml:space="preserv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this subsection, with respect to any claim arising out of the design, construction, or repair of a new residence, of an alteration of or repair or addition to an existing residence, or of an appurtenance to a residence,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 If the person being sued is a contractor who has provided a written warranty for the residence that complies with Subsection (a-3), the claimant must bring the suit not later than six years after the substantial completion of the improvement.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purposes of Subsection (a-2), a written warranty must provide a minimum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year for workmanship and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for plumbing, electrical, heating, and air-conditioning delivery systems;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six years for major structural components.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For purposes of Subsection (a-2):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"Contractor" has the meaning assigned by Section 27.001,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"Residence" means the real property and improvements for a detached one-family or two-family dwelling or a townhouse not more than three stories above grade plane in height with a separate means of egress or an accessory structure not more than three stories above grade plane in height.</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person performing or furnishing the construction or repair work during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w:t>
      </w:r>
      <w:r>
        <w:rPr>
          <w:u w:val="single"/>
        </w:rPr>
        <w:t xml:space="preserve">or (a-2)</w:t>
      </w:r>
      <w:r>
        <w:t xml:space="preserve">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this section, Section 16.009, Civil Practice and Remedies Code, as amended by this Act, applies to a cause of action arising out of the design, construction, or repair of an improvement to real property that commences on or after the effective date of this Act.  Section 16.009, Civil Practice and Remedies Code, as amended by this Act, does not apply to a cause of action arising out of the design, construction, or repair of an improvement to real property that commences on or after the effective date of this Act under a contract entered into before that date.</w:t>
      </w:r>
    </w:p>
    <w:p w:rsidR="003F3435" w:rsidRDefault="0032493E">
      <w:pPr>
        <w:spacing w:line="480" w:lineRule="auto"/>
        <w:ind w:firstLine="720"/>
        <w:jc w:val="both"/>
      </w:pPr>
      <w:r>
        <w:t xml:space="preserve">(b)</w:t>
      </w:r>
      <w:r xml:space="preserve">
        <w:t> </w:t>
      </w:r>
      <w:r xml:space="preserve">
        <w:t> </w:t>
      </w:r>
      <w:r>
        <w:t xml:space="preserve">A cause of action arising out of the design, construction, or repair of an improvement to real property that commenced before the effective date of this Act or arising out of the design, construction, or repair of an improvement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