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88R2254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statutes of limitation and repose for certain claims arising out of residential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16.008, Civil Practice and Remedies Code, is amended by amending Subsections (a) and (c)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or (a-2)</w:t>
      </w:r>
      <w:r>
        <w:t xml:space="preserve">, a person must bring suit for damages for a claim listed in Subsection (b) against a registered or licensed architect, engineer, interior designer, or landscape architect in this state, who designs, plans, or inspects the construction of an improvement to real property or equipment attached to real property, not later than 10 years after the substantial completion of the improvement or the beginning of operation of the equipment in an action arising out of a defective or unsafe condition of the real property, the improvement, or the equipment.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With respect to any claim arising out of the design, planning, or inspection of a new residence, of an alteration of or repair or addition to an existing residence, or of an appurtenance to a residence, a person must bring suit for damages for a claim listed in Subsection (b) against a registered or licensed architect, engineer, interior designer, or landscape architect in this state, who designs, plans, or inspects the construction of an improvement to real property or equipment attached to real property, not later than eight years after the substantial completion of the improvement or the beginning of operation of the equipment in an action arising out of a defective or unsafe condition of the real property, the improvement, or the equipment.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purposes of Subsection (a-2), "residence" has the meaning assigned by Section 27.001, Property Code.</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architect, engineer, interior designer, or landscape architect within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w:t>
      </w:r>
      <w:r>
        <w:rPr>
          <w:u w:val="single"/>
        </w:rPr>
        <w:t xml:space="preserve">or (a-2)</w:t>
      </w:r>
      <w:r>
        <w:t xml:space="preserve">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16.009, Civil Practice and Remedies Code, is amended by amending Subsections (a) and (c) and adding Subsections (a-2), (a-3), and (a-4)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or (a-2)</w:t>
      </w:r>
      <w:r>
        <w:t xml:space="preserv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this subsection, with respect to any claim arising out of the design, construction, or repair of a new residence, of an alteration of or repair or addition to an existing residence, or of an appurtenance to a residence, a claimant must bring suit for damages for a claim listed in Subsection (b) against a person who constructs or repairs an improvement to real property not later than eight years after the substantial completion of the improvement in an action arising out of a defective or unsafe condition of the real property or a deficiency in the construction or repair of the improvement. If the person being sued is a contractor who has provided a written warranty for the residence that complies with Subsection (a-3), the claimant must bring the suit not later than five years after the substantial completion of the improvement.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purposes of Subsection (a-2), a written warranty must provide a minimum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year for workmanship and materials;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for plumbing, electrical, heating, and air-conditioning delivery systems;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years for major structural components.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For purposes of Subsection (a-2), "contractor" and "residence" have the meanings assigned by Section 27.001, Property Code.</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person performing or furnishing the construction or repair work during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w:t>
      </w:r>
      <w:r>
        <w:rPr>
          <w:u w:val="single"/>
        </w:rPr>
        <w:t xml:space="preserve">or (a-2)</w:t>
      </w:r>
      <w:r>
        <w:t xml:space="preserve"> applies.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Except as provided by this section, Section 16.008, Civil Practice and Remedies Code, as amended by this Act, applies to a cause of action arising out of a design, plan, or inspection of the construction of an improvement to real property or equipment attached to real property that commences on or after the effective date of this Act.  Section 16.008, Civil Practice and Remedies Code, as amended by this Act, does not apply to a cause of action arising out of a design, plan, or inspection that commences on or after the effective date of this Act under a contract entered into before that date.</w:t>
      </w:r>
    </w:p>
    <w:p w:rsidR="003F3435" w:rsidRDefault="0032493E">
      <w:pPr>
        <w:spacing w:line="480" w:lineRule="auto"/>
        <w:ind w:firstLine="720"/>
        <w:jc w:val="both"/>
      </w:pPr>
      <w:r>
        <w:t xml:space="preserve">(b)</w:t>
      </w:r>
      <w:r xml:space="preserve">
        <w:t> </w:t>
      </w:r>
      <w:r xml:space="preserve">
        <w:t> </w:t>
      </w:r>
      <w:r>
        <w:t xml:space="preserve">A cause of action arising out of a design, plan, or inspection of the construction of an improvement to real property or equipment attached to real property that commenced before the effective date of this Act or arising out of a design, plan, or inspection of the construction of an improvement to real property or equipment attached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Except as provided by this section, Section 16.009, Civil Practice and Remedies Code, as amended by this Act, applies to a cause of action arising out of the design, construction, or repair of an improvement to real property that commences on or after the effective date of this Act.  Section 16.009, Civil Practice and Remedies Code, as amended by this Act, does not apply to a cause of action arising out of the design, construction, or repair of an improvement to real property that commences on or after the effective date of this Act under a contract entered into before that date.</w:t>
      </w:r>
    </w:p>
    <w:p w:rsidR="003F3435" w:rsidRDefault="0032493E">
      <w:pPr>
        <w:spacing w:line="480" w:lineRule="auto"/>
        <w:ind w:firstLine="720"/>
        <w:jc w:val="both"/>
      </w:pPr>
      <w:r>
        <w:t xml:space="preserve">(b)</w:t>
      </w:r>
      <w:r xml:space="preserve">
        <w:t> </w:t>
      </w:r>
      <w:r xml:space="preserve">
        <w:t> </w:t>
      </w:r>
      <w:r>
        <w:t xml:space="preserve">A cause of action arising out of the design, construction, or repair of an improvement to real property that commenced before the effective date of this Act or arising out of the design, construction, or repair of an improvement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