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88R9661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the Texas Department of Transportation on the Texas Electricity Supply Chain Security and Mapping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38.201(c),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committee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executive director of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executive director of the Railroad Commission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president and the chief executive officer of the independent organization certified under Section 39.151 for the ERCOT power region;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chief of the Texas Division of Emergency Management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director of the Texas Department of Transportation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38.202(c),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commission, the Railroad Commission of Texas, </w:t>
      </w:r>
      <w:r>
        <w:rPr>
          <w:u w:val="single"/>
        </w:rPr>
        <w:t xml:space="preserve">the Texas Department of Transportation,</w:t>
      </w:r>
      <w:r>
        <w:t xml:space="preserve"> and the Texas Division of Emergency Management shall provide staff as necessary to assist the committee in carrying out the committee's duties and responsibilities.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38.203(e), Utilities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shall provide [</w:t>
      </w:r>
      <w:r>
        <w:rPr>
          <w:strike/>
        </w:rPr>
        <w:t xml:space="preserve">the Texas Energy Reliability Council with</w:t>
      </w:r>
      <w:r>
        <w:t xml:space="preserve">] access to the electricity supply chain map </w:t>
      </w:r>
      <w:r>
        <w:rPr>
          <w:u w:val="single"/>
        </w:rP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Energy Reliability Council;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Department of Transportation staff whose duties include making repairs after disasters or emergencies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