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88R4515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2035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local government to regulate evictions.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 Property Code, is amended by adding Section 24.0041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24.0041.</w:t>
      </w:r>
      <w:r>
        <w:rPr>
          <w:u w:val="single"/>
        </w:rPr>
        <w:t xml:space="preserve"> </w:t>
      </w:r>
      <w:r>
        <w:rPr>
          <w:u w:val="single"/>
        </w:rPr>
        <w:t xml:space="preserve"> </w:t>
      </w:r>
      <w:r>
        <w:rPr>
          <w:u w:val="single"/>
        </w:rPr>
        <w:t xml:space="preserve">AUTHORITY OF LOCAL GOVERNMENTS TO REGULATE EVICTIONS.  Notwithstanding any other law, a municipality or county may not adopt or enforce an ordinance, order,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restricts, or delays: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delivery of a notice to vacate;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of a suit to recover possession of the premises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relates to an eviction suit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24.005(e), Property Code, is amended to read as follows:</w:t>
      </w:r>
    </w:p>
    <w:p w:rsidR="003F3435" w:rsidRDefault="0032493E">
      <w:pPr>
        <w:spacing w:line="480" w:lineRule="auto"/>
        <w:ind w:firstLine="720"/>
        <w:jc w:val="both"/>
      </w:pPr>
      <w:r>
        <w:t xml:space="preserve">(e)</w:t>
      </w:r>
      <w:r xml:space="preserve">
        <w:t> </w:t>
      </w:r>
      <w:r xml:space="preserve">
        <w:t> </w:t>
      </w:r>
      <w:r>
        <w:t xml:space="preserve">If the lease or applicable </w:t>
      </w:r>
      <w:r>
        <w:rPr>
          <w:u w:val="single"/>
        </w:rPr>
        <w:t xml:space="preserve">federal</w:t>
      </w:r>
      <w:r>
        <w:t xml:space="preserv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eviction suit in which the notice to vacate is given on or after the effective date of this Act.  An eviction suit in which the notice to vacate is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