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88R5688 KKR-D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Meza</w:t>
      </w:r>
      <w:r xml:space="preserve">
        <w:tab wTab="150" tlc="none" cTlc="0"/>
      </w:r>
      <w:r>
        <w:t xml:space="preserve">H.B.</w:t>
      </w:r>
      <w:r xml:space="preserve">
        <w:t> </w:t>
      </w:r>
      <w:r>
        <w:t xml:space="preserve">No.</w:t>
      </w:r>
      <w:r xml:space="preserve">
        <w:t> </w:t>
      </w:r>
      <w:r>
        <w:t xml:space="preserve">2036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reimbursement rate for meals provided under the home-delivered meals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531, Government Code, is amended by adding Section 531.02483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531.02483.</w:t>
      </w:r>
      <w:r>
        <w:rPr>
          <w:u w:val="single"/>
        </w:rPr>
        <w:t xml:space="preserve"> </w:t>
      </w:r>
      <w:r>
        <w:rPr>
          <w:u w:val="single"/>
        </w:rPr>
        <w:t xml:space="preserve"> </w:t>
      </w:r>
      <w:r>
        <w:rPr>
          <w:u w:val="single"/>
        </w:rPr>
        <w:t xml:space="preserve">HOME-DELIVERED MEALS PROGRAM REIMBURSEMENT RATE; ANNUAL ADJUSTMENT. </w:t>
      </w:r>
      <w:r>
        <w:rPr>
          <w:u w:val="single"/>
        </w:rPr>
        <w:t xml:space="preserve"> </w:t>
      </w:r>
      <w:r>
        <w:rPr>
          <w:u w:val="single"/>
        </w:rPr>
        <w:t xml:space="preserve">(a) </w:t>
      </w:r>
      <w:r>
        <w:rPr>
          <w:u w:val="single"/>
        </w:rPr>
        <w:t xml:space="preserve"> </w:t>
      </w:r>
      <w:r>
        <w:rPr>
          <w:u w:val="single"/>
        </w:rPr>
        <w:t xml:space="preserve">In this section, "home-delivered meals program" means the program administered by the commission under which a contracted provider agency delivers meals to certain eligible individuals,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recipients receiving services under the STAR+PLUS home and community-based services (HCBS) waiver program;</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individuals receiving community services and supports under Title XX of the Social Security Act (42 U.S.C. Section 1397 et seq.);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individuals receiving services from area agencies on aging under Title III of the Social Security Act (42 U.S.C. Section 501 et seq.).</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Subsection (c), the executive commissioner by rule shall increase the reimbursement rate ceiling prescribed for a meal provided under the home-delivered meals program to $10 per meal.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October 1 of each year, the reimbursement rate ceiling for a meal provided under the home-delivered meals program must be adjusted to reflect the change in the Consumer Price Index for All Urban Consumers (CPI-U) published by the Bureau of Labor Statistics or its successor index during the preceding fiscal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