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88R22909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et al.</w:t>
      </w:r>
      <w:r xml:space="preserve">
        <w:tab wTab="150" tlc="none" cTlc="0"/>
      </w:r>
      <w:r>
        <w:t xml:space="preserve">H.B.</w:t>
      </w:r>
      <w:r xml:space="preserve">
        <w:t> </w:t>
      </w:r>
      <w:r>
        <w:t xml:space="preserve">No.</w:t>
      </w:r>
      <w:r xml:space="preserve">
        <w:t> </w:t>
      </w:r>
      <w:r>
        <w:t xml:space="preserve">2043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2043:</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2043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justice system pretrial and sentencing database established by the Office of Court Administration of the Texas Judicial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72, Government Code, is amended by adding Subchapter H to read as follows:</w:t>
      </w:r>
    </w:p>
    <w:p w:rsidR="003F3435" w:rsidRDefault="0032493E">
      <w:pPr>
        <w:spacing w:line="480" w:lineRule="auto"/>
        <w:jc w:val="center"/>
      </w:pPr>
      <w:r>
        <w:rPr>
          <w:u w:val="single"/>
        </w:rPr>
        <w:t xml:space="preserve">SUBCHAPTER H.  CRIMINAL JUSTICE SYSTEM PRETRIAL AND SENTENCING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72.201.</w:t>
      </w:r>
      <w:r>
        <w:rPr>
          <w:u w:val="single"/>
        </w:rPr>
        <w:t xml:space="preserve"> </w:t>
      </w:r>
      <w:r>
        <w:rPr>
          <w:u w:val="single"/>
        </w:rPr>
        <w:t xml:space="preserve"> </w:t>
      </w:r>
      <w:r>
        <w:rPr>
          <w:u w:val="single"/>
        </w:rPr>
        <w:t xml:space="preserve">DATABASE.  (a)  The office shall establish and maintain a database to collect, compile, and analyze pretrial and sentencing information for each defendant arrested for an offense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include in the database the following information for each defendant,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cause number of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which the case is pending;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date of birth;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 ethnicity, and sex;</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primary language;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zip code and county of residence provided at arrest;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offense for which the defendant was arrested, including the date the offense was committed and the punishment classification level;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and county of arrest;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and time the person was taken to jail after arrest;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defendant was determined to be indigent for purposes of appointment of counsel under Article 26.04,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information regarding bail in the case,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bail was set;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position of the person setting bail;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 of bail and, for a monetary bail bond, the amount of bail;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the defendant's release on bail;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defendant filed an affidavit under Article 17.028(f), Code of Criminal Procedure;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conditions of release on bail;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defendant was denied bail;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whether the defendant remained in jail after bail was set;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length of pretrial confinement;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modification of the conditions of release on bail after the defendant's release;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 defendant failed to appear for a scheduled court appearance;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the defendant's release on bail was revoked due to a violation of a condition of release;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 defendant was arrested for committing an offense while released on bail or community supervision in the same county as the previous offense;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disposition of the case, including the sentence imposed;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date the defendant's sentence commenced;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any credit for time served.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in the database is public information and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72.202.</w:t>
      </w:r>
      <w:r>
        <w:rPr>
          <w:u w:val="single"/>
        </w:rPr>
        <w:t xml:space="preserve"> </w:t>
      </w:r>
      <w:r>
        <w:rPr>
          <w:u w:val="single"/>
        </w:rPr>
        <w:t xml:space="preserve"> </w:t>
      </w:r>
      <w:r>
        <w:rPr>
          <w:u w:val="single"/>
        </w:rPr>
        <w:t xml:space="preserve">SUBMISSION OF INFORMATION.  (a)  Each law enforcement agency in this state shall collect the information described by Section 72.201(b) and, not later than the fifth day of each month, submit the information to the clerk of the court in which the applicable case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10th day of each month, the clerk of each court in this state with criminal jurisdiction shall submit to the office, on a form prescribed by the office, the information described by Section 72.201(b) with respect to defendants arrested for offenses in the preceding month.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submitting the information, the law enforcement agency and clerk shall include any updated or additional information with respect to each defendant for whom information has already been reported.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72.203.</w:t>
      </w:r>
      <w:r>
        <w:rPr>
          <w:u w:val="single"/>
        </w:rPr>
        <w:t xml:space="preserve"> </w:t>
      </w:r>
      <w:r>
        <w:rPr>
          <w:u w:val="single"/>
        </w:rPr>
        <w:t xml:space="preserve"> </w:t>
      </w:r>
      <w:r>
        <w:rPr>
          <w:u w:val="single"/>
        </w:rPr>
        <w:t xml:space="preserve">PUBLISHED INFORMATION.  (a)  Except as provided by Subsection (d), the office shall publish deidentified pretrial and sentencing data from the database on the office's Internet website in a modern, open, electronic format that is machine-readable and readily accessible by the public free of charge.  The office shall update the information on the Internet website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published data must be searchable by each item of information described by Section 72.201(b).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published on the office's Internet website may not disclose the name or identifying information of a defendant.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publish data at the offense level for any offense for which there are fewer than five arrests during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72.204.</w:t>
      </w:r>
      <w:r>
        <w:rPr>
          <w:u w:val="single"/>
        </w:rPr>
        <w:t xml:space="preserve"> </w:t>
      </w:r>
      <w:r>
        <w:rPr>
          <w:u w:val="single"/>
        </w:rPr>
        <w:t xml:space="preserve"> </w:t>
      </w:r>
      <w:r>
        <w:rPr>
          <w:u w:val="single"/>
        </w:rPr>
        <w:t xml:space="preserve">RULES.  The office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Office of Court Administration of the Texas Judicial System shall establish the database described by Section 72.201,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law enforcement agency or court is not required to submit information under Section 72.202, Government Code, as added by this Act, with respect to any defendant arrested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Court Administration of the Texas Judicial System shall begin publishing pretrial and sentencing data under Section 72.203, Government Code, as added by this Act, not later than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