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88R9789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commissioners court of a county to adopt an exemption from ad valorem taxation by the county of a portion, expressed as a dollar amount, of the appraised value of an individual's residence homestead.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11.13, Tax Code, is amended by amending Subsection (i) and adding Subsection (s)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assessor and collector for a taxing unit may disregard the exemptions authorized by Subsection (b), (c), (d), [</w:t>
      </w:r>
      <w:r>
        <w:rPr>
          <w:strike/>
        </w:rPr>
        <w:t xml:space="preserve">or</w:t>
      </w:r>
      <w:r>
        <w:t xml:space="preserve">] (n)</w:t>
      </w:r>
      <w:r>
        <w:rPr>
          <w:u w:val="single"/>
        </w:rPr>
        <w:t xml:space="preserve">, or (s)</w:t>
      </w:r>
      <w:r>
        <w:t xml:space="preserve"> [</w:t>
      </w:r>
      <w:r>
        <w:rPr>
          <w:strike/>
        </w:rPr>
        <w:t xml:space="preserve">of this section</w:t>
      </w:r>
      <w:r>
        <w:t xml:space="preserve">] and assess and collect a tax pledged for payment of debt without deducting the amount of the exemption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prior to adoption of the exemption, the </w:t>
      </w:r>
      <w:r>
        <w:rPr>
          <w:u w:val="single"/>
        </w:rPr>
        <w:t xml:space="preserve">taxing</w:t>
      </w:r>
      <w:r>
        <w:t xml:space="preserve"> unit pledged the taxes for the payment of a debt;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granting the exemption would impair the obligation of the contract creating the debt.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(s)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any other exemptions provided by this section, an individual is entitled to an exemption from taxation by a county of a portion, expressed as a dollar amount, of the appraised value of the individual's residence homestead if the exemption is adopted by the commissioners court of the county before July 1 in the manner provided by law for official action by the commissioners court.  The amount of the exemption may not exceed $100,000.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25.23(a),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After submission of appraisal records, the chief appraiser shall prepare supplemental appraisal records listing: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taxable property the chief appraiser discovers that is not included in the records already submitted, including property that was omitted from an appraisal roll in a prior tax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property on which the appraisal review board has not determined a protest at the time of its approval of the appraisal records;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property that qualifies for an exemption under Section 11.13(n) </w:t>
      </w:r>
      <w:r>
        <w:rPr>
          <w:u w:val="single"/>
        </w:rPr>
        <w:t xml:space="preserve">or (s)</w:t>
      </w:r>
      <w:r>
        <w:t xml:space="preserve"> that was adopted by the governing body of a taxing unit after the date the appraisal records were submitted.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2024, but only if the constitutional amendment proposed by the 88th Legislature, Regular Session, 2023, authorizing the commissioners court of a county to adopt an exemption from ad valorem taxation by the county of a portion, expressed as a dollar amount, of the appraised value of an individual's residence homestead is approved by the voters.  If that amendment is not approved by the voters,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