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88R17903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Talarico, 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informed consent before a dog or cat may be boarded at a kennel and left unattended;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10, Health and Safety Code, is amended by adding Chapter 824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824. KENNELS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protection sprinkler system"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766.051.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"Kennel" means a facility, including a veterinary medicine clinic, that provides boarding and related services to dogs or cats for breeding, sheltering, training, hunting, or similar purposes in exchange for compensation or other consideration.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CHAPTER.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animal shelter as defined by Chapter 823;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kennel that boards not more than three dogs or cats at any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INFORMED CONSENT FOR BOARDING OR PROVIDING SERVICES TO DOG OR CAT TO BE LEFT UNATTENDED.  A kennel owner or operator who is boarding or providing services to a dog or cat at the kennel may not leave the dog or cat unattended without an employee present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kennel owner or operator provides to the owner of the dog or cat written notice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dog or cat will be left unattended at the kennel without an employee present during the hours specified in the notice;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kennel is not equipped with a functioning fire protection sprinkler system, the facility does not have a fire protection sprinkler system;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dog or cat provides to the kennel owner or operator a signed document consenting to the dog or cat being left unattended as provided in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PENALTY.  (a)  A kennel owner or operator who violates Section 824.003 is liable for a civil penalty in an amount equal to $500 for each animal subject to the violation and for each day the violation continues.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or the appropriate district or county attorney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bring an action on behalf of this state to collect the civil penalty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 attorney's fees and costs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