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Talarico, Patterson</w:t>
      </w:r>
      <w:r>
        <w:t xml:space="preserve"> (Senate Sponsor-Schwertner)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1;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required informed consent before a dog or cat may be boarded at a kennel and left unattended;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10, Health and Safety Code, is amended by adding Chapter 824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824. KENNELS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protection sprinkler system"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766.051.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"Kennel" means a facility, including a veterinary medicine clinic, that provides boarding and related services to dogs or cats for breeding, sheltering, training, hunting, or similar purposes in exchange for compensation or other consideration.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CHAPTER.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animal shelter as defined by Chapter 823;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kennel that boards not more than three dogs or cats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INFORMED CONSENT FOR BOARDING OR PROVIDING SERVICES TO DOG OR CAT TO BE LEFT UNATTENDED.  A kennel owner or operator who is boarding or providing services to a dog or cat at the kennel may not leave the dog or cat unattended without an employee present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kennel owner or operator provides to the owner of the dog or cat written notice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or cat will be left unattended at the kennel without an employee present during the hours specified in the notice;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kennel is not equipped with a functioning fire protection sprinkler system, the facility does not have a fire protection sprinkler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dog or cat provides to the kennel owner or operator a signed document consenting to the dog or cat being left unattended as provided in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 A kennel owner or operator who violates Section 824.003 is liable for a civil penalty in an amount equal to $500 for each animal subject to the violation and for each day the violation continues.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or the appropriate district or county attorney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bring an action on behalf of this state to collect the civil penalty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