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88R7461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nonrenewal of certain private passenger automobile insurance policies for the insured's failure to cooperate in a third-party liability claim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551.1053, Insurance Code, is amended to read as follows:</w:t>
      </w:r>
    </w:p>
    <w:p w:rsidR="003F3435" w:rsidRDefault="0032493E">
      <w:pPr>
        <w:spacing w:line="480" w:lineRule="auto"/>
        <w:ind w:firstLine="720"/>
        <w:jc w:val="both"/>
      </w:pPr>
      <w:r>
        <w:t xml:space="preserve">Sec.</w:t>
      </w:r>
      <w:r xml:space="preserve">
        <w:t> </w:t>
      </w:r>
      <w:r>
        <w:t xml:space="preserve">551.1053.</w:t>
      </w:r>
      <w:r xml:space="preserve">
        <w:t> </w:t>
      </w:r>
      <w:r xml:space="preserve">
        <w:t> </w:t>
      </w:r>
      <w:r>
        <w:t xml:space="preserve">MANDATORY NONRENEWAL OF PRIVATE PASSENGER AUTOMOBILE INSURANCE POLICIES. </w:t>
      </w:r>
      <w:r>
        <w:t xml:space="preserve"> </w:t>
      </w:r>
      <w:r>
        <w:t xml:space="preserve">(a) </w:t>
      </w:r>
      <w:r>
        <w:t xml:space="preserve"> </w:t>
      </w:r>
      <w:r>
        <w:t xml:space="preserve">If an insured under a private passenger automobile insurance policy fails or refuses to cooperate with an insurer in the investigation, settlement, or defense of a </w:t>
      </w:r>
      <w:r>
        <w:rPr>
          <w:u w:val="single"/>
        </w:rPr>
        <w:t xml:space="preserve">third-party liability</w:t>
      </w:r>
      <w:r>
        <w:t xml:space="preserve">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551.105 and 551.106, an insurer may not renew a private passenger automobile insurance policy if the [</w:t>
      </w:r>
      <w:r>
        <w:rPr>
          <w:strike/>
        </w:rPr>
        <w:t xml:space="preserve">named</w:t>
      </w:r>
      <w:r>
        <w:t xml:space="preserve">] insured fails or refuses to cooperate with the insurer in the investigation, settlement, or defense of the </w:t>
      </w:r>
      <w:r>
        <w:rPr>
          <w:u w:val="single"/>
        </w:rPr>
        <w:t xml:space="preserve">third-party liability</w:t>
      </w:r>
      <w:r>
        <w:t xml:space="preserve"> claim or action described by the notice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551.1053, Insurance Code, as amended by this Act, applies only to an insurance policy delivered, issued for delivery, or renewed on or after January 1, 2024.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