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88R8132 PRL-F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2067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jurisdiction of a court in a suit to divide certain property not divided or awarded on the dissolution of a marriage.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9.201, Family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provision of this chapter, the court that rendered a final decree of divorce or annulment or another final order dividing property under this title retains continuing, exclusive jurisdiction to render an order under this subchapter to divide property not divided or awarded to a spouse in the final decree.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 suit to divide property not divided or awarded to a spouse in a final decree of divorce or annulment that is pending in a trial court on the effective date of this Act or that is filed on or after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