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Lozano</w:t>
      </w:r>
      <w:r xml:space="preserve">
        <w:tab wTab="150" tlc="none" cTlc="0"/>
      </w:r>
      <w:r>
        <w:t xml:space="preserve">H.B.</w:t>
      </w:r>
      <w:r xml:space="preserve">
        <w:t> </w:t>
      </w:r>
      <w:r>
        <w:t xml:space="preserve">No.</w:t>
      </w:r>
      <w:r xml:space="preserve">
        <w:t> </w:t>
      </w:r>
      <w:r>
        <w:t xml:space="preserve">2069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minimum standards for entry safety point protocols and infrastructure for school districts and charter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G, Chapter 37, Education Code, is amended by adding Section 37.2072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37.2072.</w:t>
      </w:r>
      <w:r>
        <w:rPr>
          <w:u w:val="single"/>
        </w:rPr>
        <w:t xml:space="preserve"> </w:t>
      </w:r>
      <w:r>
        <w:rPr>
          <w:u w:val="single"/>
        </w:rPr>
        <w:t xml:space="preserve"> </w:t>
      </w:r>
      <w:r>
        <w:rPr>
          <w:u w:val="single"/>
        </w:rPr>
        <w:t xml:space="preserve">MINIMUM STANDARDS FOR SCHOOL ENTRY POINT PROTOCOLS AND INFRASTRUCTURE.  (a)  The center shall develop minimum standards for reducing and securing school entry points in order to ensure that the security standards for instructional facilities and other school district and charter school facilities provide for a safe environment.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minimum standards for reducing entry points developed pursuant to Subsection (a) shall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determining the minimum number of open entry points required to allow for efficient ingress of students and faculty for the start of a school day and limiting the number of open entry points to that minimum;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further reducing the total number of open entry points to the greatest extent possible once the initial entry of students and faculty for the start of a school day has been completed;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securing all other points of access so as to not allow entry while still allowing students and faculty to exit in the event of an emergency;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remotely monitoring other points of access by use of access controls, camera systems, or other devices determined by the school district or charter school to be effective and feasible.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minimum standards for securing entry points developed pursuant to Subsection (a) shall be divided into four levels based upon the specific needs and available resources of a school district or charter school.  The levels shall be delineated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Level One shall provide for visual surveillance of the entry point by school security personnel or school staff to monitor for unusual behavior while applying questioning, individual searches, and bag checks when deemed warranted;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Level Two shall include all of the practices described in Level One, as well as performing random checks of entrants by school security personnel or school staff utilizing handheld metal detectors;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Level Three shall include establishing security screening during which entrants and their belongings would be randomly screened by walk through metal detectors, as well as applying all of the practices described in Level One and using handheld metal detectors for secondary screening;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Level Four shall entail comprehensive security screening of all entrants and their belongings, including applying all of the practices described in Level One; screening all entrants through the use of walk through metal detectors; using handheld metal detectors for secondary screening; conducting bag checks in only those instances in which the alarm in the walk through metal detector sounds; and instructing entrants to use low metal content backpacks and school supplies to mitigate the alarms and maintain efficient ingress.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