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88R9549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Smith, Morales of Maverick</w:t>
      </w:r>
      <w:r xml:space="preserve">
        <w:tab wTab="150" tlc="none" cTlc="0"/>
      </w:r>
      <w:r>
        <w:t xml:space="preserve">H.B.</w:t>
      </w:r>
      <w:r xml:space="preserve">
        <w:t> </w:t>
      </w:r>
      <w:r>
        <w:t xml:space="preserve">No.</w:t>
      </w:r>
      <w:r xml:space="preserve">
        <w:t> </w:t>
      </w:r>
      <w:r>
        <w:t xml:space="preserve">2070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of spousal maintenance ordered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8.054(d), Family Code, is amended to read as follows:</w:t>
      </w:r>
    </w:p>
    <w:p w:rsidR="003F3435" w:rsidRDefault="0032493E">
      <w:pPr>
        <w:spacing w:line="480" w:lineRule="auto"/>
        <w:ind w:firstLine="720"/>
        <w:jc w:val="both"/>
      </w:pPr>
      <w:r>
        <w:t xml:space="preserve">(d)</w:t>
      </w:r>
      <w:r xml:space="preserve">
        <w:t> </w:t>
      </w:r>
      <w:r xml:space="preserve">
        <w:t> </w:t>
      </w:r>
      <w:r>
        <w:t xml:space="preserve">The continuation of maintenance ordered under Subsection (b) is subject to </w:t>
      </w:r>
      <w:r>
        <w:rPr>
          <w:u w:val="single"/>
        </w:rPr>
        <w:t xml:space="preserve">the procedural requirements for</w:t>
      </w:r>
      <w:r>
        <w:t xml:space="preserve"> a motion to modify as provided by Section 8.057.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motion to continue spousal maintenance under Subchapter B, Chapter 8, Family Code, that is made on or after the effective date of this Act, regardless of whether the original spousal maintenance order was rendered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