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2074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local optional teacher designation system grant program by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 </w:t>
      </w:r>
      <w:r>
        <w:rPr>
          <w:u w:val="single"/>
        </w:rPr>
        <w:t xml:space="preserve"> </w:t>
      </w:r>
      <w:r>
        <w:rPr>
          <w:u w:val="single"/>
        </w:rPr>
        <w:t xml:space="preserve">(a) </w:t>
      </w:r>
      <w:r>
        <w:rPr>
          <w:u w:val="single"/>
        </w:rPr>
        <w:t xml:space="preserve"> </w:t>
      </w:r>
      <w:r>
        <w:rPr>
          <w:u w:val="single"/>
        </w:rPr>
        <w:t xml:space="preserve">From funds appropriated or otherwise available for the purpose, the agency shall establish and administer a program to provide grants to eligible school districts or open-enrollment charter schools to implement a local optional teacher designation system under Section 21.3521.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eligibility criteria to receive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from any public or private source for the purpose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to establish and administer the grant program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Education Agency shall establish the local optional teacher designation system grant program under Section 21.3522,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