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pharmacists to order and furnish certain prescription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483.001(11),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"Practice of pharmacy" </w:t>
      </w:r>
      <w:r>
        <w:rPr>
          <w:u w:val="single"/>
        </w:rPr>
        <w:t xml:space="preserve">has the meaning assigned by Section 551.003, Occupations Code</w:t>
      </w:r>
      <w:r>
        <w:t xml:space="preserve"> [</w:t>
      </w:r>
      <w:r>
        <w:rPr>
          <w:strike/>
        </w:rPr>
        <w:t xml:space="preserve">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provision of those acts or services necessary to provide pharmaceutical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interpretation and evaluation of prescription drug orders or medication orders;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participation in drug and device selection as authorized by law, drug administration, drug regimen review, or drug or drug-related research;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(D)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provision of patient counseling;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(E)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responsibility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dispensing of prescription drug orders or distribution of medication orders in the patient's best interest;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compounding and labeling of drugs and devices, except labeling by a manufacturer, repackager, or distributor of nonprescription drugs and commercially packaged prescription drugs and devices;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(iii)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proper and safe storage of drugs and devices;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[</w:t>
      </w:r>
      <w:r>
        <w:rPr>
          <w:strike/>
        </w:rPr>
        <w:t xml:space="preserve">(iv)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maintenance of proper records for drugs and devices.  In this subdivision, "device" has the meaning assigned by Subtitle J, Title 3, Occupations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(F)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performance of a specific act of drug therapy management for a patient delegated to a pharmacist by a written protocol from a physician licensed by the state under Subtitle B, Title 3, Occupations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551.003(33), Occupations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"Practice of pharmacy"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providing an act or service necessary to provide pharmaceutical care;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interpreting or evaluating a prescription drug order or medication order;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participating in drug or device selection as authorized by law, and participating in drug administration, drug regimen review, or drug or drug-related research;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providing patient counseling;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being responsible for: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dispensing a prescription drug order or distributing a medication order;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compounding or labeling a drug or device, other than labeling by a manufacturer, repackager, or distributor of a nonprescription drug or commercially packaged prescription drug or device;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properly and safely storing a drug or device;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maintaining proper records for a drug or device;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performing for a patient a specific act of drug therapy management delegated to a pharmacist by a written protocol from a physician licensed in this state in compliance with Subtitle B;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administering an immunization or vaccination under a physician's written protocol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ordering or furnishing a prescription drug to treat an acute condition in accordance with Section 562.058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562, Occupations Code, is amended by adding Section 562.058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562.058.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ORDERING AND FURNISHING CERTAIN PRESCRIPTION DRUGS.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"Acute condition" means a condition or disease that begins abruptly, intensifies rapidly, and is generally not long-lasting.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"Waived clinical laboratory test" means a clinical laboratory test that is classified as waived under federal regulations issued under the Clinical Laboratory Improvement Amendments of 1988 (42 U.S.C. Section 263a).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pharmacist may order and furnish to a patient a prescription drug to treat an acute condition that is identified through performance of one of the following tests, if the test is a waived clinical laboratory test: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rapid strep test or rapid antigen detection test used in the identification of group A streptococcus (GAS);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rapid influenza diagnostic test used in the identification of influenza types A and B;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rapid diagnostic test for SARS-CoV-2 or a related virus used in the identification of COVID-19 or a related illness.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shall adopt rules to permit a pharmacist to order and furnish a prescription drug under this section to a patient without an established physician-patient relationship.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pharmacist who orders and furnishes a prescription drug under this section must provide notice to the patient's primary care physician, as identified by the patient if the patient has a primary care physician, not later than the 14th day after the date the drug is ordered and furnished by the pharmacist.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by rule shall establish requirements to ensure that a pharmacist possesses the necessary skill and training to order and furnish prescription drugs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2024, the Texas State Board of Pharmacy shall adopt the rules required under Section 562.058,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