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88R4464 SHH-F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Klick</w:t>
      </w:r>
      <w:r xml:space="preserve">
        <w:tab wTab="150" tlc="none" cTlc="0"/>
      </w:r>
      <w:r>
        <w:t xml:space="preserve">H.B.</w:t>
      </w:r>
      <w:r xml:space="preserve">
        <w:t> </w:t>
      </w:r>
      <w:r>
        <w:t xml:space="preserve">No.</w:t>
      </w:r>
      <w:r xml:space="preserve">
        <w:t> </w:t>
      </w:r>
      <w:r>
        <w:t xml:space="preserve">2081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registration of vision support organizations; imposing a fee; requiring an occupational registration;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Business &amp; Commerce Code, is amended by adding Chapter 74 to read as follows:</w:t>
      </w:r>
    </w:p>
    <w:p w:rsidR="003F3435" w:rsidRDefault="0032493E">
      <w:pPr>
        <w:spacing w:line="480" w:lineRule="auto"/>
        <w:jc w:val="center"/>
      </w:pPr>
      <w:r>
        <w:rPr>
          <w:u w:val="single"/>
        </w:rPr>
        <w:t xml:space="preserve">CHAPTER 74. REGISTRATION OF VISION SUPPORT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support services" means business, management, consulting, or administrative services, facilities, or staff provided for an optometrist or an entity that employs or contracts with an optometrist to provide eye care services or products,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office space, furnishings, equipment, supplies, or inventory;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staff employed by a vision support organization;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regulatory compliance;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eye care equipment, supplies, or products;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information systems;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marketing or advertising;</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accounting, bookkeeping, or monitoring of accounts receivable;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payroll or benefits administration;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billing and collection for services and products;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reporting and payment of federal or state taxes;</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administration of interest expense or indebtedness incurred to finance the operation of a business; or</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insurance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"Optometrist" means an individual optometrist or therapeutic optometrist licensed to practice optometry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support organization" means an entity that, under one or more agreements, provides two or more business support services to an optometrist.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REGISTRATION REQUIRED.  (a)  A vision support organization shall annually register with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EXEMPTIONS.</w:t>
      </w:r>
      <w:r>
        <w:rPr>
          <w:u w:val="single"/>
        </w:rPr>
        <w:t xml:space="preserve"> </w:t>
      </w:r>
      <w:r>
        <w:rPr>
          <w:u w:val="single"/>
        </w:rPr>
        <w:t xml:space="preserve"> </w:t>
      </w:r>
      <w:r>
        <w:rPr>
          <w:u w:val="single"/>
        </w:rPr>
        <w:t xml:space="preserve">This chapter does not require registration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accountant providing only accounting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attorney providing only legal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insurance company or insurance agent providing only insurance policies to a business;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providing only investment and financial advisory services;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accredited college of optometry or college of medicine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optometrist who has an ownership interest in three or fewer locations;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community health center, as defined by Section 351.367(a), Occupations Code;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nonprofit corporation governed by Chapter 22,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CONTENTS OF REGISTRATION; FEE. (a) The registration required by Section 74.002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business address of the vision support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each optometrist who owns any portion of the vision support organization;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of each person who is not an optometrist and  owns five percent or more of the vision support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registration or corrected registration is not effective until the vision support organization pays the fee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TIMING OF REGISTRATION; CORRECTION REQUIRED.  (a) Except as provided by Subsection (b), the registration required by Section 74.002 must be filed with the secretary of state not later than January 31 of each year for which the registration is effective.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 that initially meets the requirement for registration under Section 74.002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vision support organization shall file a corrected registration each quarter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FAILURE TO FILE REGISTRATION OR CORRECTION. (a)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or occurs is a separate violation for the purpose of imposing the civil penalty.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file suit to collect the civil penalty provided by this section.  The suit may be filed in Travis County or any county where the vision support organization provides business support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INTERAGENCY MEMORANDUM.  The secretary of state shall enter into an interagency memorandum to share the information collected by the secretary of state under this chapter with any relevant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APPLICABILITY.  This chapter does not limit business support services that may be provided to an optometrist by a vision support organization, to the extent permitted under Section 351.408, Occupations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74.002, Business &amp; Commerce Code, as added by this Act, a vision support organization is not required to register under that section before February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