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88R20115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 Plesa, Davis, Hull, Howard,</w:t>
      </w:r>
      <w:r xml:space="preserve">
        <w:tab wTab="150" tlc="none" cTlc="0"/>
      </w:r>
      <w:r>
        <w:t xml:space="preserve">H.B.</w:t>
      </w:r>
      <w:r xml:space="preserve">
        <w:t> </w:t>
      </w:r>
      <w:r>
        <w:t xml:space="preserve">No.</w:t>
      </w:r>
      <w:r xml:space="preserve">
        <w:t> </w:t>
      </w:r>
      <w:r>
        <w:t xml:space="preserve">2094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2094:</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2094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court order for the exclusive occupancy of the primary residence by a spouse during the pendency of a suit for dissolution of a marriage.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6.502, Family Code, is amended by amending Subsection (a) and adding Subsections (d), (e), and (f) to read as follows:</w:t>
      </w:r>
    </w:p>
    <w:p w:rsidR="003F3435" w:rsidRDefault="0032493E">
      <w:pPr>
        <w:spacing w:line="480" w:lineRule="auto"/>
        <w:ind w:firstLine="720"/>
        <w:jc w:val="both"/>
      </w:pPr>
      <w:r>
        <w:t xml:space="preserve">(a)</w:t>
      </w:r>
      <w:r xml:space="preserve">
        <w:t> </w:t>
      </w:r>
      <w:r xml:space="preserve">
        <w:t> </w:t>
      </w:r>
      <w:r>
        <w:t xml:space="preserve">While a suit for dissolution of a marriage is pending and on the motion of a party or on the court's own motion after notice and hearing, the court may render an appropriate order, including the granting of a temporary injunction for the preservation of the property and protection of the parties as deemed necessary and equitable and including an order directed to one or both parties:</w:t>
      </w:r>
    </w:p>
    <w:p w:rsidR="003F3435" w:rsidRDefault="0032493E">
      <w:pPr>
        <w:spacing w:line="480" w:lineRule="auto"/>
        <w:ind w:firstLine="1440"/>
        <w:jc w:val="both"/>
      </w:pPr>
      <w:r>
        <w:t xml:space="preserve">(1)</w:t>
      </w:r>
      <w:r xml:space="preserve">
        <w:t> </w:t>
      </w:r>
      <w:r xml:space="preserve">
        <w:t> </w:t>
      </w:r>
      <w:r>
        <w:t xml:space="preserve">requiring a sworn inventory and appraisement of the real and personal property owned or claimed by the parties and specifying the form, manner, and substance of the inventory and appraisal and list of debts and liabilities;</w:t>
      </w:r>
    </w:p>
    <w:p w:rsidR="003F3435" w:rsidRDefault="0032493E">
      <w:pPr>
        <w:spacing w:line="480" w:lineRule="auto"/>
        <w:ind w:firstLine="1440"/>
        <w:jc w:val="both"/>
      </w:pPr>
      <w:r>
        <w:t xml:space="preserve">(2)</w:t>
      </w:r>
      <w:r xml:space="preserve">
        <w:t> </w:t>
      </w:r>
      <w:r xml:space="preserve">
        <w:t> </w:t>
      </w:r>
      <w:r>
        <w:t xml:space="preserve">requiring payments to be made for the support of either spouse;</w:t>
      </w:r>
    </w:p>
    <w:p w:rsidR="003F3435" w:rsidRDefault="0032493E">
      <w:pPr>
        <w:spacing w:line="480" w:lineRule="auto"/>
        <w:ind w:firstLine="1440"/>
        <w:jc w:val="both"/>
      </w:pPr>
      <w:r>
        <w:t xml:space="preserve">(3)</w:t>
      </w:r>
      <w:r xml:space="preserve">
        <w:t> </w:t>
      </w:r>
      <w:r xml:space="preserve">
        <w:t> </w:t>
      </w:r>
      <w:r>
        <w:t xml:space="preserve">requiring the production of books, papers, documents, and tangible things by a party;</w:t>
      </w:r>
    </w:p>
    <w:p w:rsidR="003F3435" w:rsidRDefault="0032493E">
      <w:pPr>
        <w:spacing w:line="480" w:lineRule="auto"/>
        <w:ind w:firstLine="1440"/>
        <w:jc w:val="both"/>
      </w:pPr>
      <w:r>
        <w:t xml:space="preserve">(4)</w:t>
      </w:r>
      <w:r xml:space="preserve">
        <w:t> </w:t>
      </w:r>
      <w:r xml:space="preserve">
        <w:t> </w:t>
      </w:r>
      <w:r>
        <w:t xml:space="preserve">ordering payment of reasonable attorney's fees and expenses;</w:t>
      </w:r>
    </w:p>
    <w:p w:rsidR="003F3435" w:rsidRDefault="0032493E">
      <w:pPr>
        <w:spacing w:line="480" w:lineRule="auto"/>
        <w:ind w:firstLine="1440"/>
        <w:jc w:val="both"/>
      </w:pPr>
      <w:r>
        <w:t xml:space="preserve">(5)</w:t>
      </w:r>
      <w:r xml:space="preserve">
        <w:t> </w:t>
      </w:r>
      <w:r xml:space="preserve">
        <w:t> </w:t>
      </w:r>
      <w:r>
        <w:t xml:space="preserve">appointing a receiver for the preservation and protection of the property of the parties;</w:t>
      </w:r>
    </w:p>
    <w:p w:rsidR="003F3435" w:rsidRDefault="0032493E">
      <w:pPr>
        <w:spacing w:line="480" w:lineRule="auto"/>
        <w:ind w:firstLine="1440"/>
        <w:jc w:val="both"/>
      </w:pPr>
      <w:r>
        <w:t xml:space="preserve">(6)</w:t>
      </w:r>
      <w:r xml:space="preserve">
        <w:t> </w:t>
      </w:r>
      <w:r xml:space="preserve">
        <w:t> </w:t>
      </w:r>
      <w:r>
        <w:t xml:space="preserve">awarding one spouse exclusive occupancy of the </w:t>
      </w:r>
      <w:r>
        <w:rPr>
          <w:u w:val="single"/>
        </w:rPr>
        <w:t xml:space="preserve">primary</w:t>
      </w:r>
      <w:r>
        <w:t xml:space="preserve"> residence </w:t>
      </w:r>
      <w:r>
        <w:rPr>
          <w:u w:val="single"/>
        </w:rPr>
        <w:t xml:space="preserve">or other residential property</w:t>
      </w:r>
      <w:r>
        <w:t xml:space="preserve"> during the pendency of the case;</w:t>
      </w:r>
    </w:p>
    <w:p w:rsidR="003F3435" w:rsidRDefault="0032493E">
      <w:pPr>
        <w:spacing w:line="480" w:lineRule="auto"/>
        <w:ind w:firstLine="1440"/>
        <w:jc w:val="both"/>
      </w:pPr>
      <w:r>
        <w:t xml:space="preserve">(7)</w:t>
      </w:r>
      <w:r xml:space="preserve">
        <w:t> </w:t>
      </w:r>
      <w:r xml:space="preserve">
        <w:t> </w:t>
      </w:r>
      <w:r>
        <w:t xml:space="preserve">prohibiting the parties, or either party, from spending funds beyond an amount the court determines to be for reasonable and necessary living expenses;</w:t>
      </w:r>
    </w:p>
    <w:p w:rsidR="003F3435" w:rsidRDefault="0032493E">
      <w:pPr>
        <w:spacing w:line="480" w:lineRule="auto"/>
        <w:ind w:firstLine="1440"/>
        <w:jc w:val="both"/>
      </w:pPr>
      <w:r>
        <w:t xml:space="preserve">(8)</w:t>
      </w:r>
      <w:r xml:space="preserve">
        <w:t> </w:t>
      </w:r>
      <w:r xml:space="preserve">
        <w:t> </w:t>
      </w:r>
      <w:r>
        <w:t xml:space="preserve">awarding one spouse exclusive control of a party's usual business or occupation; or</w:t>
      </w:r>
    </w:p>
    <w:p w:rsidR="003F3435" w:rsidRDefault="0032493E">
      <w:pPr>
        <w:spacing w:line="480" w:lineRule="auto"/>
        <w:ind w:firstLine="1440"/>
        <w:jc w:val="both"/>
      </w:pPr>
      <w:r>
        <w:t xml:space="preserve">(9)</w:t>
      </w:r>
      <w:r xml:space="preserve">
        <w:t> </w:t>
      </w:r>
      <w:r xml:space="preserve">
        <w:t> </w:t>
      </w:r>
      <w:r>
        <w:t xml:space="preserve">prohibiting an act described by Section 6.501(a).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While a suit for dissolution of a marriage is pending and on the motion of a party, the court shall render an appropriate order awarding the party exclusive occupancy of the primary residence during the pendency of the suit under Subsection (a)(6) if the adverse party has, during the pendency of the suit or in the three-year period preceding the date the suit was filed, been convicted of or placed on deferred adjudication community supervision for: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offense under Title 5, Penal Code, for which the court has made an affirmative finding that the offense involved family violence under Article 42.013, Code of Criminal Procedure, that was committed against the party filing the motion or a member of that party's family or household;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Section 25.11, Penal Code, committed against the party filing the motion or a member of that party's family or household.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party that has been awarded exclusive occupancy of the primary residence under Subsection (d) may file a motion to vacate that order at any time during the pendency of the suit.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has the meaning assigned by Section 71.003.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"Household" has the meaning assigned by Section 71.005.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suit for dissolution of a marriage that is pending in a trial court on the effective date of this Act or that is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