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2111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certain federal law enforcement agents as school district security personnel and the authority of the chief of school safety and security for the Texas Education Agency to carry a weapon on public school grounds.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 current or former licensed federal law enforcement agent who is authorized to carry a weapon while on duty</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37, Education Code, is amended by adding Section 37.089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37.089.</w:t>
      </w:r>
      <w:r>
        <w:rPr>
          <w:u w:val="single"/>
        </w:rPr>
        <w:t xml:space="preserve"> </w:t>
      </w:r>
      <w:r>
        <w:rPr>
          <w:u w:val="single"/>
        </w:rPr>
        <w:t xml:space="preserve"> </w:t>
      </w:r>
      <w:r>
        <w:rPr>
          <w:u w:val="single"/>
        </w:rPr>
        <w:t xml:space="preserve">CHIEF OF SCHOOL SAFETY AND SECURITY.  Notwithstanding Section 46.03(a)(1), Penal Code, an individual appointed by the governor as chief of school safety and security for the agency may carry a weapon on the grounds of any school district or open-enrollment charter school campus or facility in this state if the individual is a commissioned peace officer or a current or former licensed federal law enforcement agent who is authorized to carry a weapon while on duty.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