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88R6339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serve as a member of a board of directors of certain public improvement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382.052(b),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population of the district is more than 1,000, to be eligible to serve as a director, a person must be at least 18 years old[</w:t>
      </w:r>
      <w:r>
        <w:rPr>
          <w:strike/>
        </w:rPr>
        <w:t xml:space="preserve">, reside in the district,</w:t>
      </w:r>
      <w:r>
        <w:t xml:space="preserve">] and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owner of property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owner of stock, whether beneficial or otherwise, of a corporate owner of property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owner of a beneficial interest in a trust that owns property in the district;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agent, employee, or tenant of a person covered by Subdivision (1), (2), or (3)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 of the district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