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88R8315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w:t>
      </w:r>
      <w:r xml:space="preserve">
        <w:tab wTab="150" tlc="none" cTlc="0"/>
      </w:r>
      <w:r>
        <w:t xml:space="preserve">H.B.</w:t>
      </w:r>
      <w:r xml:space="preserve">
        <w:t> </w:t>
      </w:r>
      <w:r>
        <w:t xml:space="preserve">No.</w:t>
      </w:r>
      <w:r xml:space="preserve">
        <w:t> </w:t>
      </w:r>
      <w:r>
        <w:t xml:space="preserve">2113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warrant for a violation of a condition of community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42A.751, Code of Criminal Procedure,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A judge may not issue a warrant under this article for a violation of any condition of community supervision unless the attorney representing the state has filed a motion to revoke, modify, or extend the defendant's community supervision.</w:t>
      </w:r>
    </w:p>
    <w:p w:rsidR="003F3435" w:rsidRDefault="0032493E">
      <w:pPr>
        <w:spacing w:line="480" w:lineRule="auto"/>
        <w:ind w:firstLine="720"/>
        <w:jc w:val="both"/>
      </w:pPr>
      <w:r>
        <w:rPr>
          <w:u w:val="single"/>
        </w:rPr>
        <w:t xml:space="preserve">(a-1)</w:t>
      </w:r>
      <w:r xml:space="preserve">
        <w:t> </w:t>
      </w:r>
      <w:r xml:space="preserve">
        <w:t> </w:t>
      </w:r>
      <w:r>
        <w:t xml:space="preserve">At any time during the period of community supervision, the judge may issue a warrant for a violation of any condition of community supervision and cause a defendant convicted under Section 43.02 or 43.021, Penal Code, Chapter 481, Health and Safety Code, or Sections 485.031 through 485.035, Health and Safety Code, or placed on deferred adjudication community supervision after being charged with one of those offenses, to be subject to:</w:t>
      </w:r>
    </w:p>
    <w:p w:rsidR="003F3435" w:rsidRDefault="0032493E">
      <w:pPr>
        <w:spacing w:line="480" w:lineRule="auto"/>
        <w:ind w:firstLine="1440"/>
        <w:jc w:val="both"/>
      </w:pPr>
      <w:r>
        <w:t xml:space="preserve">(1)</w:t>
      </w:r>
      <w:r xml:space="preserve">
        <w:t> </w:t>
      </w:r>
      <w:r xml:space="preserve">
        <w:t> </w:t>
      </w:r>
      <w:r>
        <w:t xml:space="preserve">the control measures of Section 81.083, Health and Safety Code; and</w:t>
      </w:r>
    </w:p>
    <w:p w:rsidR="003F3435" w:rsidRDefault="0032493E">
      <w:pPr>
        <w:spacing w:line="480" w:lineRule="auto"/>
        <w:ind w:firstLine="1440"/>
        <w:jc w:val="both"/>
      </w:pPr>
      <w:r>
        <w:t xml:space="preserve">(2)</w:t>
      </w:r>
      <w:r xml:space="preserve">
        <w:t> </w:t>
      </w:r>
      <w:r xml:space="preserve">
        <w:t> </w:t>
      </w:r>
      <w:r>
        <w:t xml:space="preserve">the court-ordered-management provisions of Subchapter G, Chapter 81,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warrant issued on or after the effective date of this Act. </w:t>
      </w:r>
      <w:r>
        <w:t xml:space="preserve"> </w:t>
      </w:r>
      <w:r>
        <w:t xml:space="preserve">A warrant issued before the effective date of this Act is governed by the law in effect on the date the warrant was issued,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