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88R10943 EAS-D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Bumgarner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2116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psychological evaluations before the provision of gender reassignment treatments and procedures.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161, Health and Safety Code, is amended by adding Subchapter X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X.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PSYCHOLOGICAL EVALUATION REQUIRED FOR GENDER REASSIGNMENT TREATMENTS AND PROCEDURES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161.701.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this subchapter: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"Gender reassignment treatment or procedure" means a medical treatment or procedure provided or performed for the purpose of altering an individual's primary or secondary sex characteristics.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"Health care provider" means an individual who is licensed, certified, or otherwise authorized by this state's laws to provide or render health care or to dispense or prescribe a prescription drug in the ordinary course of business or practice of a profession.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161.702.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PSYCHOLOGICAL EXAMINATION REQUIRED FOR GENDER REASSIGNMENT TREATMENTS AND PROCEDURES.  A health care provider may not provide or perform a gender reassignment treatment or procedure unless the person receiving the gender reassignment treatment or procedure has undergone a psychological examination by a psychologist licensed in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X, Chapter 161, Health and Safety Code, as added by this Act, applies only to a gender reassignment treatment or procedure that is provided or performed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2116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