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88R17155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Kaufman, Gates, Shaheen,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2120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Schaefer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2120: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2120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practice of barbering and cosmetology at an establishment at a public secondary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1603, Occupations Code, is amended by adding Section 1603.359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1603.359.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PRACTICE OF BARBERING AND COSMETOLOGY AT ESTABLISHMENT AT PUBLIC SECONDARY SCHOOL.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1603.358, a person may operate an establishment on the same premises as a public secondary school licensed under Subchapter E-3 without separating the facilities by a wall or other permanent structure.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2120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