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88R8921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practice of barbering and cosmetology at an establishment at a public secondary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1603. Occupations Code, is amended by adding Section 1603.359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1603.359.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PRACTICE OF BARBERING AND COSMETOLOGY AT ESTABLISHMENT AT PUBLIC SECONDARY SCHOOL.  (a) </w:t>
      </w:r>
      <w:r>
        <w:rPr>
          <w:u w:val="single"/>
        </w:rPr>
        <w:t xml:space="preserve"> </w:t>
      </w:r>
      <w:r>
        <w:rPr>
          <w:u w:val="single"/>
        </w:rPr>
        <w:t xml:space="preserve">A public secondary school licensed under Subchapter E-3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an establishment license under Subchapter E-2 to operate the establishment on the same campus as the school without complying with the requirement of Section 1603.358; 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 at the school or establishment a person holding a license under Subchapter E-1 to perform only the practices of barbering or cosmetology for which the person is licensed notwithstanding Section 1603.353.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student permit holder enrolled in a public secondary school may be employed or practice barbering or cosmetology at an establishment licensed at the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establishment operated on the same campus as a public secondary school is subject to Section 1603.2314.  A violation of that section may result in revocation or suspension of both the establishment and school licenses.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for a public secondary school that operates an establishment and a school on the same campus, including rules establishing standards for a license or permit holder who practices barbering or cosmetology at the establishment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