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88R9406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2122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Human Trafficking Prevention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rPr>
          <w:u w:val="single"/>
        </w:rPr>
        <w:t xml:space="preserve">the commissioner of education or the commissioner's designee;</w:t>
      </w:r>
    </w:p>
    <w:p w:rsidR="003F3435" w:rsidRDefault="0032493E">
      <w:pPr>
        <w:spacing w:line="480" w:lineRule="auto"/>
        <w:ind w:firstLine="1440"/>
        <w:jc w:val="both"/>
      </w:pPr>
      <w:r>
        <w:rPr>
          <w:u w:val="single"/>
        </w:rPr>
        <w:t xml:space="preserve">(6)</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 and</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one representative of any other state agency appointed by the chief administrative officer of the agency, if the human trafficking prevention task force established under Section 402.035 and the council determine that a representative from the state agency is a necessary member of the council.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