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merchant allowing a person suspected of committing or attempting to commit theft to complete a theft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Kevin Kolbye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124.001, Civil Practice and Remedies Code, is amended to read as follows:</w:t>
      </w:r>
    </w:p>
    <w:p w:rsidR="003F3435" w:rsidRDefault="0032493E">
      <w:pPr>
        <w:spacing w:line="480" w:lineRule="auto"/>
        <w:ind w:firstLine="720"/>
        <w:jc w:val="both"/>
      </w:pPr>
      <w:r>
        <w:t xml:space="preserve">Sec.</w:t>
      </w:r>
      <w:r xml:space="preserve">
        <w:t> </w:t>
      </w:r>
      <w:r>
        <w:t xml:space="preserve">124.001.</w:t>
      </w:r>
      <w:r xml:space="preserve">
        <w:t> </w:t>
      </w:r>
      <w:r xml:space="preserve">
        <w:t> </w:t>
      </w:r>
      <w:r>
        <w:rPr>
          <w:u w:val="single"/>
        </w:rPr>
        <w:t xml:space="preserve">SUSPECTED THEFT OF PROPERTY OR ATTEMPTED THEFT OF PROPERTY</w:t>
      </w:r>
      <w:r>
        <w:t xml:space="preserve"> [</w:t>
      </w:r>
      <w:r>
        <w:rPr>
          <w:strike/>
        </w:rPr>
        <w:t xml:space="preserve">DETENTION</w:t>
      </w:r>
      <w:r>
        <w:t xml:space="preserve">].  </w:t>
      </w:r>
      <w:r>
        <w:rPr>
          <w:u w:val="single"/>
        </w:rPr>
        <w:t xml:space="preserve">(a)</w:t>
      </w:r>
      <w:r>
        <w:t xml:space="preserve">  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who offers a person an opportunity to complete a theft education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of that opportunity;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for a period of not less than two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criteria used by the merchant in determining whether to offer a person the opportunity to complete a theft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terms of each offer made;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each person to whom the merchant made an offer.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precludes a peace officer, district attorney, criminal district attorney, county attorney, or judge from offering a person a theft education program under Section 124.002 in compliance with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124, Civil Practice and Remedies Code, is amended by adding Sections 124.002 and 124.003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THEFT EDUCATION PROGRAM.  (a)  A theft education program for a person who is suspected of stealing or attempting to steal property under Section 124.001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type of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to modify the person's behavioral decision-making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the person with interactive exercises designed to instill appropriate societal behavior;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accountability and reconciliation between the person and the merchant.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race, color, religion, sex, familial status, or national origin;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ability to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provider that charges a fee for participation in a theft education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reduce or waive the fee for the program based on the ability to pay of a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compensate a merchant who offers a person the opportunity to complete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make an admission of guilt to participate in a theft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IMMUNITY FROM CRIMINAL AND CIVIL LIABILITY.  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2129 was passed by the House on May 6, 2023, by the following vote:</w:t>
      </w:r>
      <w:r xml:space="preserve">
        <w:t> </w:t>
      </w:r>
      <w:r xml:space="preserve">
        <w:t> </w:t>
      </w:r>
      <w:r>
        <w:t xml:space="preserve">Yeas 102, Nays 32, 2 present, not voting; and that the House concurred in Senate amendments to H.B. No. 2129 on May 26, 2023, by the following vote:</w:t>
      </w:r>
      <w:r xml:space="preserve">
        <w:t> </w:t>
      </w:r>
      <w:r xml:space="preserve">
        <w:t> </w:t>
      </w:r>
      <w:r>
        <w:t xml:space="preserve">Yeas 117, Nays 23,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2129 was passed by the Senate, with amendments, on May 24,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