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88R4235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552, Government Code, is amended by adding Section 552.0031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552.0031.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BUSINESS DAYS.  (a)  Except as provided by this section, in this chapter "business day" means a day other than: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Saturday or Sunday;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national holiday under Section 662.003(a);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holiday under Section 662.003(b).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fact that an employee works from an alternative work site does not affect whether a day is considered a business day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optional holiday under Section 662.003(c) is not a business day of a governmental body if the officer for public information of the governmental body observes the optional holiday.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holiday established by the governing body of an institution of higher education under Section 662.011(a) is not a business day of the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Friday before or Monday after a holiday described by Subsection (a)(2) or (3) is not a business day of a governmental body if the holiday occurs on a Saturday or Sunday and the governmental body observes the holiday on that Friday or Monday.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requirements of this subsection, a governmental body may designate a day on which the governmental body's administrative offices are closed or operating with minimum staffing as a nonbusiness day.  The designation of a nonbusiness day for an independent school district must be made by the board of trustees.  The designation of a nonbusiness day for a governmental body other than an independent school district must be made by the executive director or other chief administrative officer.  A governmental body may designate not more than 10 nonbusiness days under this subsection each calendar year.  A governmental body shall make a good faith effort to post advance notice of the nonbusiness days designated under this subsection on the governmental body's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552.261,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governmental body may not impose a charge under this subchapter for providing a copy of public information if the information is a report required to be filed with the governmental body under Subchapter C or D, Chapter 254, Election Code, unless all of those reports filed with the governmental body during the preceding year are available to the public on the governmental body's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552.301(b),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governmental body must ask for the attorney general's decision and state the </w:t>
      </w:r>
      <w:r>
        <w:rPr>
          <w:u w:val="single"/>
        </w:rPr>
        <w:t xml:space="preserve">specific</w:t>
      </w:r>
      <w:r>
        <w:t xml:space="preserve"> exceptions that apply within a reasonable time but not later than the 10th business day after the date of receiving the written request.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H, Chapter 552,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H. CIVIL ENFORCEMENT</w:t>
      </w:r>
      <w:r>
        <w:rPr>
          <w:u w:val="single"/>
        </w:rPr>
        <w:t xml:space="preserve">; COMPLAINT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552, Government Code, is amended by adding Section 552.328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552.328.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RESPOND TO REQUESTOR.  (a)  If a governmental body fails to respond to a requestor as required by Section 552.221, the requestor may send a written complaint to the attorney general.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complaint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original request for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correspondence received from the governmental body in response to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determines the governmental body improperly failed to comply with Section 552.221 in connection with a request for which a complaint is made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notify the governmental body in writing and require the governmental body to complete open records training not later than six months after receiving the notification;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 may not assess costs to the requestor for producing information in response to the request;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governmental body seeks to withhold information in response to the request, the governmental body must: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request an attorney general decision under Section 552.301 not later than the fifth business day after the date the governmental body receives the notification under Subdivision (1);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release the requested information unless there is a compelling reason to withhold the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information that is received by a governmental body or an officer for public information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