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88R1272 JAM-D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Burns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2137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enforcement of commercial motor vehicle safety standards in certain municipalities.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644.101(b),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police officer of any of the following municipalities is eligible to apply for certification under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municipality with a population of 50,000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municipality with a population of 25,000 or more any part of which is located in a county with a population of 500,000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municipality with a population of less than 25,000: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any part of which is located in a county with a population of 3.3 million;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that contains or is adjacent to an international port;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municipality with a population of at least 34,000 that is located in a county that borders two or more states;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municipality any part of which is located in a county bordering the United Mexican States;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municipality with a population of less than 5,000 that is located: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adjacent to a bay connected to the Gulf of Mexico;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a county adjacent to a county with a population greater than 3.3 million;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municipality that is located: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within 25 miles of an international port;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a county that does not contain a highway that is part of the national system of interstate and defense highways and is adjacent to a county with a population greater than 3.3 million;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municipality with a population of less than 8,500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the county seat;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contains a highway that is part of the national system of interstate and defense highways;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municipality located in a county with a population between 60,000 and 66,000 adjacent to a bay connected to the Gulf of Mexico;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a municipality with a population of more than 40,000 and less than 50,000 that is located in a county with a population of more than 285,000 and less than 300,000 that borders the Gulf of Mexico;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a municipality with a population between 32,000 and 50,000 that is located entirely in a county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less than 250,000;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adjacent to two counties that each have a population of more than 1.2 million;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contains two highways that are part of the national system of interstate and defense highways;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a municipality with a population of more than 3,000 and less than 10,000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highway that is part of the national system of interstate and defense highways;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with a population between 150,000 and 155,000;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(13)</w:t>
      </w:r>
      <w:r xml:space="preserve">
        <w:t> </w:t>
      </w:r>
      <w:r xml:space="preserve">
        <w:t> </w:t>
      </w:r>
      <w:r>
        <w:t xml:space="preserve">a municipality with a population of less than 75,000 that is located in three counties, at least one of which has a population greater than 3.3 million;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(14)</w:t>
      </w:r>
      <w:r xml:space="preserve">
        <w:t> </w:t>
      </w:r>
      <w:r xml:space="preserve">
        <w:t> </w:t>
      </w:r>
      <w:r>
        <w:t xml:space="preserve">a municipality with a population between 14,000 and 17,000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three or more numbered United States highways;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that is adjacent to a county with a population of more than 200,000;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(15)</w:t>
      </w:r>
      <w:r xml:space="preserve">
        <w:t> </w:t>
      </w:r>
      <w:r xml:space="preserve">
        <w:t> </w:t>
      </w:r>
      <w:r>
        <w:t xml:space="preserve">a municipality with a population of less than 50,000 that is located in: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county that generated $20 million or more in tax revenue collected under Chapters 201 and 202, Tax Code, from oil and gas production during the preceding state fiscal year;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that is adjacent to two or more counties described by Paragraph (A)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with a population of more than 25,000 and less than 50,000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located in a county with a population of more than 150,000 and less than 200,000;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contains a toll project of a regional tollway authority under Chapter 366 and a highway that is part of the national system of interstate and defense highways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2137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