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sale of charitable raffle tickets by certain nonprofit wildlife conservation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2002.054,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r>
        <w:rPr>
          <w:u w:val="single"/>
        </w:rPr>
        <w:t xml:space="preserve">, except as provided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nonprofit wildlife conservation association, including each local chapter, affiliate, wildlife cooperative, or unit, that for purposes of this chapter is a qualified nonprofit organization eligible under Section 2002.003(e), may use the organization's Internet website to sell or offer to sell tickets for a raffle to previously identified supporters of the organization. </w:t>
      </w:r>
      <w:r>
        <w:rPr>
          <w:u w:val="single"/>
        </w:rPr>
        <w:t xml:space="preserve"> </w:t>
      </w:r>
      <w:r>
        <w:rPr>
          <w:u w:val="single"/>
        </w:rPr>
        <w:t xml:space="preserve">This subsection does not authorize the use of an Internet website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graphic or dynamic animation of an entry to a raffle;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graphic or dynamic animation of the drawing of raffle tickets.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2138 was passed by the House on April 13, 2023, by the following vote:</w:t>
      </w:r>
      <w:r xml:space="preserve">
        <w:t> </w:t>
      </w:r>
      <w:r xml:space="preserve">
        <w:t> </w:t>
      </w:r>
      <w:r>
        <w:t xml:space="preserve">Yeas 125, Nays 21, 2 present, not voting; and that the House concurred in Senate amendments to H.B. No. 2138 on May 25, 2023, by the following vote:</w:t>
      </w:r>
      <w:r xml:space="preserve">
        <w:t> </w:t>
      </w:r>
      <w:r xml:space="preserve">
        <w:t> </w:t>
      </w:r>
      <w:r>
        <w:t xml:space="preserve">Yeas 113, Nays 30,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2138 was passed by the Senate, with amendments, on May 23,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