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88R7757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2149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of rights provided to a patient receiving involuntary inpatient mental 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576.009, Health and Safety Code, is amended to read as follows:</w:t>
      </w:r>
    </w:p>
    <w:p w:rsidR="003F3435" w:rsidRDefault="0032493E">
      <w:pPr>
        <w:spacing w:line="480" w:lineRule="auto"/>
        <w:ind w:firstLine="720"/>
        <w:jc w:val="both"/>
      </w:pPr>
      <w:r>
        <w:t xml:space="preserve">Sec.</w:t>
      </w:r>
      <w:r xml:space="preserve">
        <w:t> </w:t>
      </w:r>
      <w:r>
        <w:t xml:space="preserve">576.009.</w:t>
      </w:r>
      <w:r xml:space="preserve">
        <w:t> </w:t>
      </w:r>
      <w:r xml:space="preserve">
        <w:t> </w:t>
      </w:r>
      <w:r>
        <w:t xml:space="preserve">NOTIFICATION OF RIGHTS.  </w:t>
      </w:r>
      <w:r>
        <w:rPr>
          <w:u w:val="single"/>
        </w:rPr>
        <w:t xml:space="preserve">(a)</w:t>
      </w:r>
      <w:r>
        <w:t xml:space="preserve">  A patient receiving involuntary inpatient mental health services shall be informed of the rights provided by this subtitle:</w:t>
      </w:r>
    </w:p>
    <w:p w:rsidR="003F3435" w:rsidRDefault="0032493E">
      <w:pPr>
        <w:spacing w:line="480" w:lineRule="auto"/>
        <w:ind w:firstLine="1440"/>
        <w:jc w:val="both"/>
      </w:pPr>
      <w:r>
        <w:t xml:space="preserve">(1)</w:t>
      </w:r>
      <w:r xml:space="preserve">
        <w:t> </w:t>
      </w:r>
      <w:r xml:space="preserve">
        <w:t> </w:t>
      </w:r>
      <w:r>
        <w:rPr>
          <w:u w:val="single"/>
        </w:rPr>
        <w:t xml:space="preserve">through a poster prominently and conspicuously displayed in an area frequented by both patients and employees of the mental health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orally, in simple, nontechnical terms, and in writing that[</w:t>
      </w:r>
      <w:r>
        <w:rPr>
          <w:strike/>
        </w:rPr>
        <w:t xml:space="preserve">, if possible,</w:t>
      </w:r>
      <w:r>
        <w:t xml:space="preserve">] is in the person's primary language;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through the use of a means reasonably calculated to communicate with a hearing impaired or visually impaired person, if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poster described by Subsection (a)(1)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name and contact information of the person with whom a complaint regarding a violation of the rights provided by this subtitle may be filed;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English and in a second language appropriate to the demographic composition of the community served by the mental health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oral and written communication required by Subsection (a)(2)(A) must be provided on two separate days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English is the patient's primary language: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the patient is admitted to the mental health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later than the third day after the date the patient is admitted to the mental health facility;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English is not the patient's primary language: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24 hours after the patient is admitted to the mental health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later than the third day after the date the patient is admitted to the mental health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patient's admittance to an inpatient mental health facility on or after the effective date of this Act.  A patient's admittance to an inpatient mental health facility before the effective date of this Act is governed by the law in effect on the date the patient was admitted,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