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2170</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toll collections by a toll project entity.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372, Transportation Code, is amended by adding Section 372.0555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372.0555.</w:t>
      </w:r>
      <w:r>
        <w:rPr>
          <w:u w:val="single"/>
        </w:rPr>
        <w:t xml:space="preserve"> </w:t>
      </w:r>
      <w:r>
        <w:rPr>
          <w:u w:val="single"/>
        </w:rPr>
        <w:t xml:space="preserve"> </w:t>
      </w:r>
      <w:r>
        <w:rPr>
          <w:u w:val="single"/>
        </w:rPr>
        <w:t xml:space="preserve">NOTICE OF RETURNED PAYMENT.  A toll project entity must immediately notify the holder of an electronic toll collection customer account that a payment by the credit card or debit card associated with the account was declined or could not otherwise be processed.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372.056, Transportation Code, is amended to read as follows:</w:t>
      </w:r>
    </w:p>
    <w:p w:rsidR="003F3435" w:rsidRDefault="0032493E">
      <w:pPr>
        <w:spacing w:line="480" w:lineRule="auto"/>
        <w:ind w:firstLine="720"/>
        <w:jc w:val="both"/>
      </w:pPr>
      <w:r>
        <w:t xml:space="preserve">Sec.</w:t>
      </w:r>
      <w:r xml:space="preserve">
        <w:t> </w:t>
      </w:r>
      <w:r>
        <w:t xml:space="preserve">372.056.</w:t>
      </w:r>
      <w:r xml:space="preserve">
        <w:t> </w:t>
      </w:r>
      <w:r xml:space="preserve">
        <w:t> </w:t>
      </w:r>
      <w:r>
        <w:t xml:space="preserve">INFORMATION REQUIRED ON NOTICE OR INVOICE.  </w:t>
      </w:r>
      <w:r>
        <w:rPr>
          <w:u w:val="single"/>
        </w:rPr>
        <w:t xml:space="preserve">(a)</w:t>
      </w:r>
      <w:r>
        <w:t xml:space="preserve">  A notice or an invoice of unpaid tolls sent by a toll project entity must clearly state that the document is a bill and the recipient is expected to pay the amount indicated.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notice or an invoice of unpaid tolls sent by first class mail must clearly indicate on the outside of the envelope that the document enclosed is a bill and the recipient is expected to pay the amount indicated.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372.057(a),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An invoice or notice provided to a person by a toll project entity may be provided by:</w:t>
      </w:r>
    </w:p>
    <w:p w:rsidR="003F3435" w:rsidRDefault="0032493E">
      <w:pPr>
        <w:spacing w:line="480" w:lineRule="auto"/>
        <w:ind w:firstLine="1440"/>
        <w:jc w:val="both"/>
      </w:pPr>
      <w:r>
        <w:t xml:space="preserve">(1)</w:t>
      </w:r>
      <w:r xml:space="preserve">
        <w:t> </w:t>
      </w:r>
      <w:r xml:space="preserve">
        <w:t> </w:t>
      </w:r>
      <w:r>
        <w:t xml:space="preserve">first class mail;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e-mail if the person has provided an e-mail address to the entity and has elected to receive notice electronically</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text message if the person has provided a phone number to the entity and has elected to receive notice by text message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applies only to the collection of a toll incurred on or after the effective date of this Act. The collection of a toll incurred before the effective date of this Act is governed by the law in effect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2170 was passed by the House on May 2, 2023, by the following vote:</w:t>
      </w:r>
      <w:r xml:space="preserve">
        <w:t> </w:t>
      </w:r>
      <w:r xml:space="preserve">
        <w:t> </w:t>
      </w:r>
      <w:r>
        <w:t xml:space="preserve">Yeas 145, Nays 1,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2170 was passed by the Senate on May 19,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