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88R1834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H.B.</w:t>
      </w:r>
      <w:r xml:space="preserve">
        <w:t> </w:t>
      </w:r>
      <w:r>
        <w:t xml:space="preserve">No.</w:t>
      </w:r>
      <w:r xml:space="preserve">
        <w:t> </w:t>
      </w:r>
      <w:r>
        <w:t xml:space="preserve">2176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notification requirement if a public school, including an open-enrollment charter school, does not have a nurse assigned to the school during all instructional hours.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38.020.</w:t>
      </w:r>
      <w:r>
        <w:rPr>
          <w:u w:val="single"/>
        </w:rPr>
        <w:t xml:space="preserve"> </w:t>
      </w:r>
      <w:r>
        <w:rPr>
          <w:u w:val="single"/>
        </w:rPr>
        <w:t xml:space="preserve"> </w:t>
      </w:r>
      <w:r>
        <w:rPr>
          <w:u w:val="single"/>
        </w:rPr>
        <w:t xml:space="preserve">PARENTAL NOTIFICATION CONCERNING NURSES.  (a)  In this section, "nurse" means a person licensed under Chapter 301,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Subsection (g), a public school, including an open-enrollment charter school, that does not have a full-time nurse or the equivalent of a full-time nurse assigned to be present at the school for more than 30 consecutive instructional days during the same school year shall provide written notice of the absence to the parent of or other person standing in parental relation to each student enrolled in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has the equivalent of a full-time nurse under Subsection (b) if the school has two or more nurses assigned to the school and all regular student instructional hours at the school during the regular school day are covered by the assignment of at least one nurse.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principal of the school shall provide the notice required by Subsection (b) not later than the 30th instructional day after the first day the school does not have a full-time nurse or the equivalent of a full-time nurse assigned to be present at the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 good faith effort to ensure that the notice required by this section is provided in a bilingual form to any parent or other person standing in parental relation whose primary language is not English;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 a copy of any notice provided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may satisfy the notice requirement under Subsection (d) by posting the notice on the school's Internet website. </w:t>
      </w:r>
      <w:r>
        <w:rPr>
          <w:u w:val="single"/>
        </w:rPr>
        <w:t xml:space="preserve"> </w:t>
      </w:r>
      <w:r>
        <w:rPr>
          <w:u w:val="single"/>
        </w:rPr>
        <w:t xml:space="preserve">Notice posted under this subsection must be accessible from the home page of the Internet website by use of not more than three links.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a school district or open-enrollment charter school with a student enrollment of less than 10,000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