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88R22629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2177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2177:</w:t>
      </w: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C.S.H.B.</w:t>
      </w:r>
      <w:r xml:space="preserve">
        <w:t> </w:t>
      </w:r>
      <w:r>
        <w:t xml:space="preserve">No.</w:t>
      </w:r>
      <w:r xml:space="preserve">
        <w:t> </w:t>
      </w:r>
      <w:r>
        <w:t xml:space="preserve">2177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digital course materials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61.0667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61.0667.</w:t>
      </w:r>
      <w:r>
        <w:rPr>
          <w:u w:val="single"/>
        </w:rPr>
        <w:t xml:space="preserve"> </w:t>
      </w:r>
      <w:r>
        <w:rPr>
          <w:u w:val="single"/>
        </w:rPr>
        <w:t xml:space="preserve"> </w:t>
      </w:r>
      <w:r>
        <w:rPr>
          <w:u w:val="single"/>
        </w:rPr>
        <w:t xml:space="preserve">DIGITAL COURSE MATERIALS PILOT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course material" means a digital textbook, supplemental material, or open educational resource, as those terms are defined by Section 51.451.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 a public junior college, public technical institute, or public state college.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 pilot program under which the board awards grants to participating eligible institutions to provide financial assistance to students for the cost of accessing digital course materials.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adopt rules necessary to administer the pilot program,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methodology for selecting eligible institutions to participate in the pilot program and allocating money appropriated for the purpose of the pilot program among those institutions that, to the greatest extent possible, results in a distribution of grant awards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reflects the varied geography and unique institutional missions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serves students who meet financial need requirements as defined by the board for the Texas Educational Opportunity Grant Program under Subchapter P, Chapter 56, and other diverse student populations that characterize higher education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criteria that participating institutions must use to evaluate digital course materials that may be accessed using grants awarded under the pilot program, which may include criteria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access to relevant technical support;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adherence to accessibility standards for students with disabilities;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positive impact on student outcomes;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immediate access and availability of the materials to all students enrolled at the institution;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faculty access to resources and training materials;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subscription-based models;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inclusive-access models;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supplemental resources that may be provided to assist students with career readiness workforce development.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rules adopted under Subsection (c), the board shall solicit input from publishers, campus bookstore operators, and other relevant industry representatives.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any authority granted by an eligible institution to a faculty member to select course materials for courses taught by the faculty member.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2026, the board shall submit to the governor, the lieutenant governor, the speaker of the house of representatives, and the presiding officer of each legislative standing committee with primary jurisdiction over higher education a report that evaluates the effectiveness of the pilot program in improving student outcomes.  The report must include a recommendation regarding whether the pilot program should be continued, expanded, or terminated.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the pilot program established under Section 61.0667,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award initial grants under Section 61.0667, Education Code, as added by this Act, beginning with the 2024 spring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