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88R4627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Harless, Jetton,</w:t>
      </w:r>
      <w:r xml:space="preserve">
        <w:tab wTab="150" tlc="none" cTlc="0"/>
      </w:r>
      <w:r>
        <w:t xml:space="preserve">H.B.</w:t>
      </w:r>
      <w:r xml:space="preserve">
        <w:t> </w:t>
      </w:r>
      <w:r>
        <w:t xml:space="preserve">No.</w:t>
      </w:r>
      <w:r xml:space="preserve">
        <w:t> </w:t>
      </w:r>
      <w:r>
        <w:t xml:space="preserve">2180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prescription drug price rebates to reduce health benefit plan enrollee cost sharing.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PRESCRIPTION DRUG PRICE REBATES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"Pharmacy benefit manager" and "prescription drug" have the meanings assigned by Section 1369.501.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"Price protection rebate" means a negotiated price concession that accrues directly or indirectly to the health benefit plan issuer or other party on behalf of the health benefit plan issuer in the event of an increase in the wholesale acquisition cost of a drug above a specified threshold.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"Rebate"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negotiated price concession, including a base price concession, without regard to whether the concession is described as a rebate, and a reasonable estimate of any price protection rebate or performance-based price concession that may accrue directly or indirectly to the health benefit plan issuer during the coverage year from a manufacturer, dispensing pharmacy, or other party in connection with the dispensing or administration of a prescription drug;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reasonable estimate of each negotiated price concession, fee, and other administrative cost that is passed through, or is reasonably anticipated to be passed through, to the health benefit plan issuer and reduces the health benefit plan issuer's cost of covering a prescription drug.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1369.086.</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1369.087.</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1369.088.</w:t>
      </w:r>
      <w:r>
        <w:rPr>
          <w:u w:val="single"/>
        </w:rPr>
        <w:t xml:space="preserve"> </w:t>
      </w:r>
      <w:r>
        <w:rPr>
          <w:u w:val="single"/>
        </w:rPr>
        <w:t xml:space="preserve"> </w:t>
      </w:r>
      <w:r>
        <w:rPr>
          <w:u w:val="single"/>
        </w:rPr>
        <w:t xml:space="preserve">APPLICATION OF PRESCRIPTION DRUG PRICE REBATES TO COST SHARING.  (a)  An enrollee's cost sharing amount for a prescription drug shall be calculated at the point of sale based on a price that is reduced by an amount equal to or greater than all rebates received or to be received by the enrollee's pharmacy benefit manager or health benefit plan issuer in connection with the dispensing or administration of the prescription drug to the enrollee.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interpreted to prohibit a health benefit plan issuer or pharmacy benefit manager from decreasing an enrollee's cost sharing amount by an amount greater than the amount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complying with this section, a health benefit plan issuer or pharmacy benefit manager may not publish or otherwise reveal information regarding the actual amount of rebates the health benefit plan issuer or pharmacy benefit manager receives on a product-specific, product class-specific, manufacturer-specific, or pharmacy-specific basis.  The information is a trade secret and is confidential and excepted from disclosure under Chapter 552, Government Code.  The health benefit plan issuer or pharmacy benefit manager may not disclose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manner that would allow for the identification of an individual product, a class of products, the manufacturer, or the pharmacy;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manner that would have the potential to compromise the financial, competitive, or proprietary nature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or pharmacy benefit manager shall ensure a third party or vendor who contracts with the health benefit plan issuer or pharmacy benefit manager and may receive or have access to rebate information complies with the confidentiality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B-2, Chapter 1369,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