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2181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by the Texas Department of Housing and Community Affairs of a homeless housing and services program for youth and young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2306, Government Code, is amended by adding Section 2306.2586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2306.2586.</w:t>
      </w:r>
      <w:r>
        <w:rPr>
          <w:u w:val="single"/>
        </w:rPr>
        <w:t xml:space="preserve"> </w:t>
      </w:r>
      <w:r>
        <w:rPr>
          <w:u w:val="single"/>
        </w:rPr>
        <w:t xml:space="preserve"> </w:t>
      </w:r>
      <w:r>
        <w:rPr>
          <w:u w:val="single"/>
        </w:rPr>
        <w:t xml:space="preserve">YOUTH AND YOUNG ADULT HOMELESS HOUSING AND SERVICES PROGRAM.  (a)  In this section, "young adult" means an individual who is 18 years of age or older but younger than 26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administer a youth and young adult homeless housing and services grant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construction, development, or procurement of housing for youth and young adults experiencing homelessness;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financial assistance to local providers of programs and services to prevent and eliminate homelessness;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access to safe housing and services for youth and young adults across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adopt rules to govern the program's administration,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for the allocation of any available money for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prescribing detailed guidelines on the scope of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use any available money to administer the program, including legislative appropriations, appropriation transfers from the trusteed programs within the office of the governor, available federal money, and any other statutorily authorized and appropriate funding 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